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ADD0" w14:textId="53BF9317" w:rsidR="009939E1" w:rsidRDefault="009939E1" w:rsidP="0006313C">
      <w:pPr>
        <w:spacing w:line="360" w:lineRule="auto"/>
        <w:rPr>
          <w:rFonts w:ascii="Lato" w:hAnsi="Lato" w:cs="Times New Roman"/>
          <w:b/>
          <w:bCs/>
        </w:rPr>
      </w:pPr>
      <w:bookmarkStart w:id="0" w:name="_Hlk127529204"/>
    </w:p>
    <w:p w14:paraId="0073C9A6" w14:textId="77777777" w:rsidR="009939E1" w:rsidRDefault="009939E1" w:rsidP="007E622C">
      <w:pPr>
        <w:spacing w:line="360" w:lineRule="auto"/>
        <w:rPr>
          <w:rFonts w:ascii="Lato" w:hAnsi="Lato" w:cs="Times New Roman"/>
          <w:b/>
          <w:bCs/>
        </w:rPr>
      </w:pPr>
    </w:p>
    <w:p w14:paraId="24FAEC6E" w14:textId="6A05ED76" w:rsidR="00EE68CD" w:rsidRPr="007E622C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7E622C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7E622C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7E622C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z </w:t>
      </w:r>
      <w:r w:rsidR="00651D9E" w:rsidRPr="007E622C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7E622C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7E622C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w zakresie:</w:t>
      </w:r>
    </w:p>
    <w:p w14:paraId="42FC2B1D" w14:textId="77777777" w:rsidR="00812122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3077CAC7" w14:textId="46263641" w:rsidR="00FE4A54" w:rsidRPr="007E622C" w:rsidRDefault="00B3685D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 </w:t>
      </w:r>
    </w:p>
    <w:p w14:paraId="074A92E1" w14:textId="1A442C38" w:rsidR="005110A6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Działanie 1</w:t>
      </w:r>
      <w:r w:rsidR="008F060C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27848F55" w14:textId="34C1BBB3" w:rsidR="0039084C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Stypendia dla studentów kierunku lekarskiego, lekarsko-dentystycznego, analityka medyczna, fizjoterapia oraz farmacja</w:t>
      </w:r>
    </w:p>
    <w:p w14:paraId="0312FF94" w14:textId="77777777" w:rsidR="0030774F" w:rsidRDefault="0030774F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713C2A52" w14:textId="77777777" w:rsidR="00440A2E" w:rsidRPr="007E622C" w:rsidRDefault="00440A2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7FA4B295" w:rsidR="00C46865" w:rsidRPr="007E622C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16039C">
        <w:rPr>
          <w:rFonts w:ascii="Lato" w:hAnsi="Lato" w:cs="Times New Roman"/>
          <w:b/>
          <w:bCs/>
          <w:sz w:val="28"/>
          <w:szCs w:val="28"/>
        </w:rPr>
        <w:t>2</w:t>
      </w:r>
      <w:r w:rsidRPr="007E622C">
        <w:rPr>
          <w:rFonts w:ascii="Lato" w:hAnsi="Lato" w:cs="Times New Roman"/>
          <w:b/>
          <w:bCs/>
          <w:sz w:val="28"/>
          <w:szCs w:val="28"/>
        </w:rPr>
        <w:t>, rok akademicki 202</w:t>
      </w:r>
      <w:r w:rsidR="0016039C">
        <w:rPr>
          <w:rFonts w:ascii="Lato" w:hAnsi="Lato" w:cs="Times New Roman"/>
          <w:b/>
          <w:bCs/>
          <w:sz w:val="28"/>
          <w:szCs w:val="28"/>
        </w:rPr>
        <w:t>3</w:t>
      </w:r>
      <w:r w:rsidRPr="007E622C">
        <w:rPr>
          <w:rFonts w:ascii="Lato" w:hAnsi="Lato" w:cs="Times New Roman"/>
          <w:b/>
          <w:bCs/>
          <w:sz w:val="28"/>
          <w:szCs w:val="28"/>
        </w:rPr>
        <w:t>/202</w:t>
      </w:r>
      <w:r w:rsidR="0016039C">
        <w:rPr>
          <w:rFonts w:ascii="Lato" w:hAnsi="Lato" w:cs="Times New Roman"/>
          <w:b/>
          <w:bCs/>
          <w:sz w:val="28"/>
          <w:szCs w:val="28"/>
        </w:rPr>
        <w:t>4</w:t>
      </w:r>
    </w:p>
    <w:p w14:paraId="3D9A84BF" w14:textId="198B2A3A" w:rsidR="00651D9E" w:rsidRPr="007E622C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8"/>
          <w:szCs w:val="28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60C830BF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0F8FD23A" w14:textId="77777777" w:rsidR="008B285F" w:rsidRPr="00E4035F" w:rsidRDefault="008B285F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2FFCC32" w14:textId="77777777" w:rsidR="00056E9A" w:rsidRDefault="00651D9E" w:rsidP="00056E9A">
      <w:pPr>
        <w:spacing w:line="360" w:lineRule="auto"/>
        <w:jc w:val="center"/>
        <w:rPr>
          <w:rFonts w:ascii="Lato" w:hAnsi="Lato" w:cs="Times New Roman"/>
        </w:rPr>
      </w:pPr>
      <w:r w:rsidRPr="00A47318">
        <w:rPr>
          <w:rFonts w:ascii="Lato" w:hAnsi="Lato" w:cs="Times New Roman"/>
        </w:rPr>
        <w:t>Warszawa,</w:t>
      </w:r>
      <w:r w:rsidR="00BE2BD1">
        <w:rPr>
          <w:rFonts w:ascii="Lato" w:hAnsi="Lato" w:cs="Times New Roman"/>
        </w:rPr>
        <w:t xml:space="preserve"> 13.08.2025 r.</w:t>
      </w:r>
      <w:r w:rsidR="00056E9A">
        <w:rPr>
          <w:rFonts w:ascii="Lato" w:hAnsi="Lato" w:cs="Times New Roman"/>
        </w:rPr>
        <w:t xml:space="preserve">, </w:t>
      </w:r>
    </w:p>
    <w:p w14:paraId="67A19C31" w14:textId="21E19CF9" w:rsidR="00056E9A" w:rsidRPr="00812122" w:rsidRDefault="00056E9A" w:rsidP="00056E9A">
      <w:pPr>
        <w:spacing w:line="360" w:lineRule="auto"/>
        <w:jc w:val="center"/>
        <w:rPr>
          <w:rFonts w:ascii="Lato" w:hAnsi="Lato" w:cs="Times New Roman"/>
        </w:rPr>
        <w:sectPr w:rsidR="00056E9A" w:rsidRPr="00812122" w:rsidSect="00C971AA">
          <w:footerReference w:type="default" r:id="rId8"/>
          <w:headerReference w:type="first" r:id="rId9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  <w:r>
        <w:rPr>
          <w:rFonts w:ascii="Lato" w:hAnsi="Lato" w:cs="Times New Roman"/>
        </w:rPr>
        <w:t xml:space="preserve">aktualizacja z dn. </w:t>
      </w:r>
      <w:r w:rsidR="00FC10D4">
        <w:rPr>
          <w:rFonts w:ascii="Lato" w:hAnsi="Lato" w:cs="Times New Roman"/>
        </w:rPr>
        <w:t>17</w:t>
      </w:r>
      <w:r>
        <w:rPr>
          <w:rFonts w:ascii="Lato" w:hAnsi="Lato" w:cs="Times New Roman"/>
        </w:rPr>
        <w:t>.1</w:t>
      </w:r>
      <w:r w:rsidR="00F665B7">
        <w:rPr>
          <w:rFonts w:ascii="Lato" w:hAnsi="Lato" w:cs="Times New Roman"/>
        </w:rPr>
        <w:t>2</w:t>
      </w:r>
      <w:r>
        <w:rPr>
          <w:rFonts w:ascii="Lato" w:hAnsi="Lato" w:cs="Times New Roman"/>
        </w:rPr>
        <w:t>.2025 r.</w:t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E4035F" w:rsidRDefault="001E4F9E" w:rsidP="00925B2C">
          <w:pPr>
            <w:pStyle w:val="Nagwekspisutreci"/>
            <w:spacing w:after="240" w:line="276" w:lineRule="auto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SPIS TREŚCI</w:t>
          </w:r>
        </w:p>
        <w:p w14:paraId="657A9399" w14:textId="7C467631" w:rsidR="00DC2BCB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15840738" w:history="1">
            <w:r w:rsidR="00DC2BCB" w:rsidRPr="00527E5A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DC2BCB">
              <w:rPr>
                <w:noProof/>
                <w:webHidden/>
              </w:rPr>
              <w:tab/>
            </w:r>
            <w:r w:rsidR="00DC2BCB">
              <w:rPr>
                <w:noProof/>
                <w:webHidden/>
              </w:rPr>
              <w:fldChar w:fldCharType="begin"/>
            </w:r>
            <w:r w:rsidR="00DC2BCB">
              <w:rPr>
                <w:noProof/>
                <w:webHidden/>
              </w:rPr>
              <w:instrText xml:space="preserve"> PAGEREF _Toc215840738 \h </w:instrText>
            </w:r>
            <w:r w:rsidR="00DC2BCB">
              <w:rPr>
                <w:noProof/>
                <w:webHidden/>
              </w:rPr>
            </w:r>
            <w:r w:rsidR="00DC2BCB">
              <w:rPr>
                <w:noProof/>
                <w:webHidden/>
              </w:rPr>
              <w:fldChar w:fldCharType="separate"/>
            </w:r>
            <w:r w:rsidR="00DC2BCB">
              <w:rPr>
                <w:noProof/>
                <w:webHidden/>
              </w:rPr>
              <w:t>3</w:t>
            </w:r>
            <w:r w:rsidR="00DC2BCB">
              <w:rPr>
                <w:noProof/>
                <w:webHidden/>
              </w:rPr>
              <w:fldChar w:fldCharType="end"/>
            </w:r>
          </w:hyperlink>
        </w:p>
        <w:p w14:paraId="2A7D3564" w14:textId="182E1EE8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39" w:history="1">
            <w:r w:rsidRPr="00527E5A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760AE2" w14:textId="74282DB8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0" w:history="1">
            <w:r w:rsidRPr="00527E5A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8C3380" w14:textId="6DB8C1A9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1" w:history="1">
            <w:r w:rsidRPr="00527E5A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A0A690" w14:textId="300EBC06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2" w:history="1">
            <w:r w:rsidRPr="00527E5A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2E643" w14:textId="5688B46A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3" w:history="1">
            <w:r w:rsidRPr="00527E5A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86D3B" w14:textId="648612AA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4" w:history="1">
            <w:r w:rsidRPr="00527E5A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368EB" w14:textId="007416CD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5" w:history="1">
            <w:r w:rsidRPr="00527E5A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CDC35" w14:textId="624862F6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6" w:history="1">
            <w:r w:rsidRPr="00527E5A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28B91D" w14:textId="1997E534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7" w:history="1">
            <w:r w:rsidRPr="00527E5A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5281E5" w14:textId="171B1237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8" w:history="1">
            <w:r w:rsidRPr="00527E5A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E31C4" w14:textId="1D86781B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49" w:history="1">
            <w:r w:rsidRPr="00527E5A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8048B" w14:textId="6E5967A6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0" w:history="1">
            <w:r w:rsidRPr="00527E5A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32841" w14:textId="1296AC0D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1" w:history="1">
            <w:r w:rsidRPr="00527E5A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9C24D8" w14:textId="443FDC9D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2" w:history="1">
            <w:r w:rsidRPr="00527E5A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3E6D7F" w14:textId="3EEFAB22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3" w:history="1">
            <w:r w:rsidRPr="00527E5A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BAB15" w14:textId="07C0FB34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4" w:history="1">
            <w:r w:rsidRPr="00527E5A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F078B" w14:textId="53EEDFF8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5" w:history="1">
            <w:r w:rsidRPr="00527E5A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11AD7" w14:textId="0F08A1F1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6" w:history="1">
            <w:r w:rsidRPr="00527E5A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F7E8C" w14:textId="0844DF45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7" w:history="1">
            <w:r w:rsidRPr="00527E5A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06B5E6" w14:textId="1350FA97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8" w:history="1">
            <w:r w:rsidRPr="00527E5A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D07C2" w14:textId="2D2EAC54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59" w:history="1">
            <w:r w:rsidRPr="00527E5A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9F50BA" w14:textId="7D232A85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60" w:history="1">
            <w:r w:rsidRPr="00527E5A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8D2B3" w14:textId="6517BAED" w:rsidR="00DC2BCB" w:rsidRDefault="00DC2BC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5840761" w:history="1">
            <w:r w:rsidRPr="00527E5A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_Toc215840761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53E802DB" w:rsidR="00DB4D22" w:rsidRPr="00E4035F" w:rsidRDefault="001E4F9E" w:rsidP="0062359D">
          <w:pPr>
            <w:spacing w:after="160" w:line="360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C971AA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66348BD2" w14:textId="77777777" w:rsidR="0016039C" w:rsidRPr="0016039C" w:rsidRDefault="0016039C" w:rsidP="0016039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" w:name="_Toc215840738"/>
      <w:bookmarkStart w:id="2" w:name="_Toc127872618"/>
      <w:bookmarkStart w:id="3" w:name="_Hlk129161878"/>
      <w:r w:rsidRPr="0016039C">
        <w:rPr>
          <w:rFonts w:ascii="Lato" w:eastAsiaTheme="majorEastAsia" w:hAnsi="Lato" w:cs="Times New Roman"/>
          <w:b/>
        </w:rPr>
        <w:lastRenderedPageBreak/>
        <w:t>Podstawa prawna</w:t>
      </w:r>
      <w:bookmarkEnd w:id="1"/>
      <w:r w:rsidRPr="0016039C">
        <w:rPr>
          <w:rFonts w:ascii="Lato" w:eastAsiaTheme="majorEastAsia" w:hAnsi="Lato" w:cs="Times New Roman"/>
          <w:b/>
        </w:rPr>
        <w:t xml:space="preserve"> </w:t>
      </w:r>
    </w:p>
    <w:p w14:paraId="08E4F7B8" w14:textId="5C5B6CF7" w:rsidR="0016039C" w:rsidRPr="00E14E1C" w:rsidRDefault="0016039C" w:rsidP="0016039C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E14E1C">
        <w:rPr>
          <w:rFonts w:ascii="Lato" w:hAnsi="Lato" w:cs="Times New Roman"/>
          <w:b/>
          <w:bCs/>
          <w:sz w:val="22"/>
          <w:szCs w:val="22"/>
        </w:rPr>
        <w:t>§ 1</w:t>
      </w:r>
      <w:r w:rsidR="003270E7" w:rsidRPr="00E14E1C">
        <w:rPr>
          <w:rFonts w:ascii="Lato" w:hAnsi="Lato" w:cs="Times New Roman"/>
          <w:b/>
          <w:bCs/>
          <w:sz w:val="22"/>
          <w:szCs w:val="22"/>
        </w:rPr>
        <w:t>.</w:t>
      </w:r>
    </w:p>
    <w:p w14:paraId="7DC841A0" w14:textId="77777777" w:rsidR="00E14E1C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/>
          <w:b/>
          <w:bCs/>
        </w:rPr>
        <w:t xml:space="preserve">KPO </w:t>
      </w:r>
      <w:r w:rsidRPr="00E14E1C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E14E1C">
        <w:rPr>
          <w:rFonts w:ascii="Lato" w:hAnsi="Lato"/>
          <w:b/>
          <w:bCs/>
        </w:rPr>
        <w:t>Plan rozwojowy,</w:t>
      </w:r>
    </w:p>
    <w:p w14:paraId="0E368CC1" w14:textId="61FE9E05" w:rsidR="007F7D42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 w:cs="Times New Roman"/>
        </w:rPr>
        <w:t>Decyzja wykonawcza Rady UE</w:t>
      </w:r>
      <w:r w:rsidR="00812122">
        <w:rPr>
          <w:rFonts w:ascii="Lato" w:hAnsi="Lato" w:cs="Times New Roman"/>
        </w:rPr>
        <w:t xml:space="preserve"> </w:t>
      </w:r>
      <w:r w:rsidR="00812122" w:rsidRPr="00812122">
        <w:rPr>
          <w:rFonts w:ascii="Lato" w:hAnsi="Lato" w:cs="Times New Roman"/>
        </w:rPr>
        <w:t>(UE) 2022/0181 (NLE)</w:t>
      </w:r>
      <w:r w:rsidRPr="00E14E1C">
        <w:rPr>
          <w:rFonts w:ascii="Lato" w:hAnsi="Lato" w:cs="Times New Roman"/>
        </w:rPr>
        <w:t xml:space="preserve">z dnia 17 czerwca 2022 r. w sprawie zatwierdzenia oceny planu odbudowy i zwiększania odporności Polski COM(2022)268 </w:t>
      </w:r>
      <w:proofErr w:type="spellStart"/>
      <w:r w:rsidRPr="00E14E1C">
        <w:rPr>
          <w:rFonts w:ascii="Lato" w:hAnsi="Lato" w:cs="Times New Roman"/>
        </w:rPr>
        <w:t>final</w:t>
      </w:r>
      <w:proofErr w:type="spellEnd"/>
      <w:r w:rsidRPr="00E14E1C">
        <w:rPr>
          <w:rFonts w:ascii="Lato" w:hAnsi="Lato" w:cs="Times New Roman"/>
        </w:rPr>
        <w:t xml:space="preserve">, </w:t>
      </w:r>
      <w:r w:rsidRPr="00E14E1C">
        <w:rPr>
          <w:rFonts w:ascii="Lato" w:hAnsi="Lato"/>
        </w:rPr>
        <w:t xml:space="preserve">zmieniona decyzją (COM(2023) 745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w dniu 8 grudnia 2023 r. oraz decyzją (COM(2024) 284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</w:t>
      </w:r>
      <w:r w:rsidRPr="00812122">
        <w:rPr>
          <w:rFonts w:ascii="Lato" w:hAnsi="Lato"/>
        </w:rPr>
        <w:t>w dniu 16 lipca 2024 r</w:t>
      </w:r>
      <w:r w:rsidRPr="00E14E1C">
        <w:rPr>
          <w:rFonts w:ascii="Lato" w:hAnsi="Lato"/>
        </w:rPr>
        <w:t>.</w:t>
      </w:r>
      <w:r w:rsidR="00E14E1C">
        <w:rPr>
          <w:rFonts w:ascii="Lato" w:hAnsi="Lato"/>
        </w:rPr>
        <w:t xml:space="preserve"> </w:t>
      </w:r>
      <w:r w:rsidR="00E14E1C" w:rsidRPr="00E14E1C">
        <w:rPr>
          <w:rFonts w:ascii="Lato" w:hAnsi="Lato"/>
        </w:rPr>
        <w:t>oraz decyzją 9590/25 przyjętą w dniu 20 czerwca 2025 r.</w:t>
      </w:r>
      <w:r w:rsidRPr="00E14E1C">
        <w:rPr>
          <w:rFonts w:ascii="Lato" w:hAnsi="Lato"/>
        </w:rPr>
        <w:t>,</w:t>
      </w:r>
    </w:p>
    <w:p w14:paraId="30466060" w14:textId="2C267AB4" w:rsidR="00E14E1C" w:rsidRDefault="00283E50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C10F04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119 z 04.05.2016, str. 1, Dz. Urz. UE L</w:t>
      </w:r>
      <w:r w:rsidR="00C10F04">
        <w:rPr>
          <w:rFonts w:ascii="Lato" w:hAnsi="Lato" w:cs="Times New Roman"/>
        </w:rPr>
        <w:t xml:space="preserve"> Nr</w:t>
      </w:r>
      <w:r w:rsidRPr="00E14E1C">
        <w:rPr>
          <w:rFonts w:ascii="Lato" w:hAnsi="Lato" w:cs="Times New Roman"/>
        </w:rPr>
        <w:t xml:space="preserve"> 127 z 23.05.2018, str. 2 oraz Dz. Urz. UE L </w:t>
      </w:r>
      <w:r w:rsidR="00C10F04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74 z 04.03.2021, str. 35)</w:t>
      </w:r>
      <w:r w:rsidR="00EA3892" w:rsidRPr="00E14E1C">
        <w:rPr>
          <w:rFonts w:ascii="Lato" w:hAnsi="Lato" w:cs="Times New Roman"/>
        </w:rPr>
        <w:t xml:space="preserve">, zwane </w:t>
      </w:r>
      <w:r w:rsidR="002E13F8" w:rsidRPr="00E14E1C">
        <w:rPr>
          <w:rFonts w:ascii="Lato" w:hAnsi="Lato" w:cs="Times New Roman"/>
        </w:rPr>
        <w:t>„</w:t>
      </w:r>
      <w:r w:rsidR="00EA3892" w:rsidRPr="00E14E1C">
        <w:rPr>
          <w:rFonts w:ascii="Lato" w:hAnsi="Lato" w:cs="Times New Roman"/>
        </w:rPr>
        <w:t>rozporządzeniem 679/2016</w:t>
      </w:r>
      <w:r w:rsidR="002E13F8" w:rsidRPr="00E14E1C">
        <w:rPr>
          <w:rFonts w:ascii="Lato" w:hAnsi="Lato" w:cs="Times New Roman"/>
        </w:rPr>
        <w:t>”</w:t>
      </w:r>
      <w:r w:rsidR="000C0CBE">
        <w:rPr>
          <w:rFonts w:ascii="Lato" w:hAnsi="Lato" w:cs="Times New Roman"/>
        </w:rPr>
        <w:t>,</w:t>
      </w:r>
    </w:p>
    <w:p w14:paraId="7B808D00" w14:textId="7EA4B33A" w:rsidR="00EA3892" w:rsidRPr="00E14E1C" w:rsidRDefault="00EA3892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Arial"/>
        </w:rPr>
        <w:t xml:space="preserve">Rozporządzenie Parlamentu Europejskiego i Rady (UE) 2020/852 z dnia 18 czerwca 2020 r. w sprawie ustanowienia ram ułatwiających zrównoważone inwestycje, zmieniające rozporządzenie (UE) 2019/2088 (Dz. Urz. UE L </w:t>
      </w:r>
      <w:r w:rsidR="00C10F04">
        <w:rPr>
          <w:rFonts w:ascii="Lato" w:eastAsiaTheme="minorHAnsi" w:hAnsi="Lato" w:cs="Arial"/>
        </w:rPr>
        <w:t>Nr</w:t>
      </w:r>
      <w:r w:rsidRPr="00E14E1C">
        <w:rPr>
          <w:rFonts w:ascii="Lato" w:eastAsiaTheme="minorHAnsi" w:hAnsi="Lato" w:cs="Arial"/>
        </w:rPr>
        <w:t>198, 22.6.2020, str. 13 z późn. zm.),</w:t>
      </w:r>
    </w:p>
    <w:p w14:paraId="53000E0E" w14:textId="395CB70E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14E1C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7464FA" w:rsidRPr="00E14E1C">
        <w:rPr>
          <w:rFonts w:ascii="Lato" w:eastAsiaTheme="minorHAnsi" w:hAnsi="Lato" w:cs="Times New Roman"/>
        </w:rPr>
        <w:t>a</w:t>
      </w:r>
      <w:r w:rsidRPr="00E14E1C">
        <w:rPr>
          <w:rFonts w:ascii="Lato" w:eastAsiaTheme="minorHAnsi" w:hAnsi="Lato" w:cs="Times New Roman"/>
        </w:rPr>
        <w:t>nia Odporności.</w:t>
      </w:r>
      <w:r w:rsidRPr="00E14E1C">
        <w:rPr>
          <w:rFonts w:ascii="Lato" w:hAnsi="Lato"/>
        </w:rPr>
        <w:t xml:space="preserve"> </w:t>
      </w:r>
      <w:r w:rsidRPr="00E14E1C">
        <w:rPr>
          <w:rFonts w:ascii="Lato" w:eastAsiaTheme="minorHAnsi" w:hAnsi="Lato" w:cs="Times New Roman"/>
        </w:rPr>
        <w:t>(Dz. Urz. UE. L Nr 57, str. 17, z późn. zm.)</w:t>
      </w:r>
      <w:r w:rsidR="000C0CBE">
        <w:rPr>
          <w:rFonts w:ascii="Lato" w:eastAsiaTheme="minorHAnsi" w:hAnsi="Lato" w:cs="Times New Roman"/>
        </w:rPr>
        <w:t>,</w:t>
      </w:r>
    </w:p>
    <w:p w14:paraId="7AC187C7" w14:textId="77777777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71A994CB" w14:textId="3FBBE0EE" w:rsidR="00812122" w:rsidRDefault="00EA389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0C0CBE">
        <w:rPr>
          <w:rFonts w:ascii="Lato" w:hAnsi="Lato" w:cs="Times New Roman"/>
        </w:rPr>
        <w:t>Euratom</w:t>
      </w:r>
      <w:proofErr w:type="spellEnd"/>
      <w:r w:rsidRPr="000C0CBE">
        <w:rPr>
          <w:rFonts w:ascii="Lato" w:hAnsi="Lato" w:cs="Times New Roman"/>
        </w:rPr>
        <w:t>) 2024/2509 z dnia 23 września 2024 r. w sprawie zasad finansowych mających zastosowanie do budżetu ogólnego Unii</w:t>
      </w:r>
      <w:r w:rsidR="000C0CBE">
        <w:rPr>
          <w:rFonts w:ascii="Lato" w:hAnsi="Lato" w:cs="Times New Roman"/>
        </w:rPr>
        <w:t xml:space="preserve"> (wersja przekształcona)</w:t>
      </w:r>
      <w:r w:rsidRPr="000C0CBE">
        <w:rPr>
          <w:rFonts w:ascii="Lato" w:hAnsi="Lato" w:cs="Times New Roman"/>
        </w:rPr>
        <w:t xml:space="preserve">  (Dz.</w:t>
      </w:r>
      <w:r w:rsidR="000C0CBE">
        <w:rPr>
          <w:rFonts w:ascii="Lato" w:hAnsi="Lato" w:cs="Times New Roman"/>
        </w:rPr>
        <w:t xml:space="preserve"> </w:t>
      </w:r>
      <w:r w:rsidRPr="000C0CBE">
        <w:rPr>
          <w:rFonts w:ascii="Lato" w:hAnsi="Lato" w:cs="Times New Roman"/>
        </w:rPr>
        <w:t>U</w:t>
      </w:r>
      <w:r w:rsidR="000C0CBE">
        <w:rPr>
          <w:rFonts w:ascii="Lato" w:hAnsi="Lato" w:cs="Times New Roman"/>
        </w:rPr>
        <w:t>rz</w:t>
      </w:r>
      <w:r w:rsidRPr="000C0CBE">
        <w:rPr>
          <w:rFonts w:ascii="Lato" w:hAnsi="Lato" w:cs="Times New Roman"/>
        </w:rPr>
        <w:t xml:space="preserve">. </w:t>
      </w:r>
      <w:r w:rsidR="000C0CBE">
        <w:rPr>
          <w:rFonts w:ascii="Lato" w:hAnsi="Lato" w:cs="Times New Roman"/>
        </w:rPr>
        <w:t xml:space="preserve">UE </w:t>
      </w:r>
      <w:r w:rsidRPr="000C0CBE">
        <w:rPr>
          <w:rFonts w:ascii="Lato" w:hAnsi="Lato" w:cs="Times New Roman"/>
        </w:rPr>
        <w:t xml:space="preserve">L, z 26.9.2024 </w:t>
      </w:r>
      <w:r w:rsidR="000C0CBE">
        <w:rPr>
          <w:rFonts w:ascii="Lato" w:hAnsi="Lato" w:cs="Times New Roman"/>
        </w:rPr>
        <w:t xml:space="preserve">str. 2509) </w:t>
      </w:r>
      <w:r w:rsidRPr="000C0CBE">
        <w:rPr>
          <w:rFonts w:ascii="Lato" w:hAnsi="Lato" w:cs="Times New Roman"/>
        </w:rPr>
        <w:t>zwane „rozporządzeniem 2024/2509</w:t>
      </w:r>
      <w:r w:rsidR="002E13F8" w:rsidRPr="000C0CBE">
        <w:rPr>
          <w:rFonts w:ascii="Lato" w:hAnsi="Lato" w:cs="Times New Roman"/>
        </w:rPr>
        <w:t>”</w:t>
      </w:r>
      <w:r w:rsidRPr="000C0CBE">
        <w:rPr>
          <w:rFonts w:ascii="Lato" w:hAnsi="Lato" w:cs="Times New Roman"/>
        </w:rPr>
        <w:t>,</w:t>
      </w:r>
    </w:p>
    <w:p w14:paraId="2AD8AEEF" w14:textId="38DE31C8" w:rsidR="00812122" w:rsidRPr="00812122" w:rsidRDefault="0081212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</w:rPr>
        <w:t>Ustawa z dnia 14 czerwca 1960 r. – Kodeks postępowania administracyjnego (Dz. U. z 2024 r., poz. 572</w:t>
      </w:r>
      <w:r w:rsidR="00C10F04">
        <w:rPr>
          <w:rFonts w:ascii="Lato" w:hAnsi="Lato" w:cs="Times New Roman"/>
        </w:rPr>
        <w:t xml:space="preserve"> z późn. zm.</w:t>
      </w:r>
      <w:r w:rsidRPr="00812122">
        <w:rPr>
          <w:rFonts w:ascii="Lato" w:hAnsi="Lato" w:cs="Times New Roman"/>
        </w:rPr>
        <w:t>) (dalej: „KPA”)</w:t>
      </w:r>
      <w:r>
        <w:rPr>
          <w:rFonts w:ascii="Lato" w:hAnsi="Lato" w:cs="Times New Roman"/>
        </w:rPr>
        <w:t>,</w:t>
      </w:r>
    </w:p>
    <w:p w14:paraId="4DEC655F" w14:textId="5CDAD6CA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Ustawa z dnia 6 grudnia 2006  r. o zasadach prowadzenia polityki rozwoju (Dz. U. z </w:t>
      </w:r>
      <w:r w:rsidR="0055142D" w:rsidRPr="00E14E1C">
        <w:rPr>
          <w:rFonts w:ascii="Lato" w:hAnsi="Lato" w:cs="Times New Roman"/>
        </w:rPr>
        <w:t>202</w:t>
      </w:r>
      <w:r w:rsidR="00A357C2" w:rsidRPr="00E14E1C">
        <w:rPr>
          <w:rFonts w:ascii="Lato" w:hAnsi="Lato" w:cs="Times New Roman"/>
        </w:rPr>
        <w:t>5</w:t>
      </w:r>
      <w:r w:rsidR="0055142D" w:rsidRPr="00E14E1C">
        <w:rPr>
          <w:rFonts w:ascii="Lato" w:hAnsi="Lato" w:cs="Times New Roman"/>
        </w:rPr>
        <w:t xml:space="preserve"> </w:t>
      </w:r>
      <w:r w:rsidRPr="00E14E1C">
        <w:rPr>
          <w:rFonts w:ascii="Lato" w:hAnsi="Lato" w:cs="Times New Roman"/>
        </w:rPr>
        <w:t xml:space="preserve">r. poz. </w:t>
      </w:r>
      <w:r w:rsidR="00A357C2" w:rsidRPr="00E14E1C">
        <w:rPr>
          <w:rFonts w:ascii="Lato" w:hAnsi="Lato" w:cs="Times New Roman"/>
        </w:rPr>
        <w:t>198</w:t>
      </w:r>
      <w:r w:rsidR="0055142D"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0B476384" w14:textId="0F42A2D5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20 lipca 2018 r. – Prawo o szkolnictwie wyższym i nauce (Dz. U. z 202</w:t>
      </w:r>
      <w:r w:rsidR="00A357C2" w:rsidRPr="00E14E1C">
        <w:rPr>
          <w:rFonts w:ascii="Lato" w:hAnsi="Lato" w:cs="Times New Roman"/>
        </w:rPr>
        <w:t>4</w:t>
      </w:r>
      <w:r w:rsidRPr="00E14E1C">
        <w:rPr>
          <w:rFonts w:ascii="Lato" w:hAnsi="Lato" w:cs="Times New Roman"/>
        </w:rPr>
        <w:t xml:space="preserve"> r. poz. </w:t>
      </w:r>
      <w:r w:rsidR="00A357C2" w:rsidRPr="00E14E1C">
        <w:rPr>
          <w:rFonts w:ascii="Lato" w:hAnsi="Lato" w:cs="Times New Roman"/>
        </w:rPr>
        <w:t>1571</w:t>
      </w:r>
      <w:r w:rsidR="00C10F04">
        <w:rPr>
          <w:rFonts w:ascii="Lato" w:hAnsi="Lato" w:cs="Times New Roman"/>
        </w:rPr>
        <w:t xml:space="preserve"> z późn. zm.</w:t>
      </w:r>
      <w:r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559CAEB8" w14:textId="39D00F4D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lastRenderedPageBreak/>
        <w:t>Ustawa z dnia 10 maja 2018 r. o ochronie danych osobowych (Dz. U. z 2019 r. poz. 1781)</w:t>
      </w:r>
      <w:r w:rsidR="00812122">
        <w:rPr>
          <w:rFonts w:ascii="Lato" w:hAnsi="Lato" w:cs="Times New Roman"/>
        </w:rPr>
        <w:t>,</w:t>
      </w:r>
    </w:p>
    <w:p w14:paraId="76E7B4AA" w14:textId="3FA4D83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4</w:t>
      </w:r>
      <w:r w:rsidRPr="00E14E1C">
        <w:rPr>
          <w:rFonts w:ascii="Lato" w:eastAsiaTheme="minorHAnsi" w:hAnsi="Lato" w:cs="Times New Roman"/>
          <w:color w:val="000000"/>
          <w:lang w:eastAsia="en-US"/>
        </w:rPr>
        <w:t xml:space="preserve"> r. poz. 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1530</w:t>
      </w:r>
      <w:r w:rsidRPr="00E14E1C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12122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1EB6EBA7" w14:textId="56367FFC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29 września 1994 r. o rachunkowości (Dz. U. z 2023 r. poz. 120</w:t>
      </w:r>
      <w:r w:rsidR="001960A6" w:rsidRPr="00E14E1C">
        <w:rPr>
          <w:rFonts w:ascii="Lato" w:hAnsi="Lato" w:cs="Times New Roman"/>
        </w:rPr>
        <w:t>, z późn. zm.)</w:t>
      </w:r>
      <w:r w:rsidR="00812122">
        <w:rPr>
          <w:rFonts w:ascii="Lato" w:hAnsi="Lato" w:cs="Times New Roman"/>
        </w:rPr>
        <w:t>,</w:t>
      </w:r>
    </w:p>
    <w:p w14:paraId="32CABFE9" w14:textId="0DA405C4" w:rsidR="000C0CBE" w:rsidRDefault="00A20AA5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Uchwała </w:t>
      </w:r>
      <w:r w:rsidR="00C10F04">
        <w:rPr>
          <w:rFonts w:ascii="Lato" w:hAnsi="Lato" w:cs="Times New Roman"/>
        </w:rPr>
        <w:t xml:space="preserve">nr 251 </w:t>
      </w:r>
      <w:r w:rsidRPr="000C0CBE">
        <w:rPr>
          <w:rFonts w:ascii="Lato" w:hAnsi="Lato" w:cs="Times New Roman"/>
        </w:rPr>
        <w:t>Rady Ministrów z dnia 16 grudnia 2022 r. w sprawie przyjęcia polityki publicznej pod nazwą „System zachęt do podejmowania i kontynuowania studiów na wybranych kierunkach medycznych oraz podjęcia zatrudnienia w zawodzie na lata 2022–2026” (M.P. z 2022 r. poz. 1237oraz z 2024 r. poz. 367)</w:t>
      </w:r>
      <w:r w:rsidR="00812122">
        <w:rPr>
          <w:rFonts w:ascii="Lato" w:hAnsi="Lato" w:cs="Times New Roman"/>
        </w:rPr>
        <w:t>,</w:t>
      </w:r>
      <w:r w:rsidR="00C10F04">
        <w:rPr>
          <w:rFonts w:ascii="Lato" w:hAnsi="Lato" w:cs="Times New Roman"/>
        </w:rPr>
        <w:t xml:space="preserve"> dalej System zachęt,</w:t>
      </w:r>
    </w:p>
    <w:p w14:paraId="46492D59" w14:textId="5D78000F" w:rsid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Porozumienie o realizacji reform i inwestycji w ramach planu rozwojowego (KPO) zawarte pomiędzy Ministrem Funduszy i Polityki Regionalnej a Ministrem Zdrowia  w dniu 12 maja 2023 r. zmienione aneksem nr 1 z dnia 28 maja 2024 r.</w:t>
      </w:r>
      <w:r w:rsidR="000C0CBE">
        <w:rPr>
          <w:rFonts w:ascii="Lato" w:hAnsi="Lato" w:cs="Times New Roman"/>
        </w:rPr>
        <w:t>,</w:t>
      </w:r>
      <w:r w:rsidRPr="000C0CBE">
        <w:rPr>
          <w:rFonts w:ascii="Lato" w:hAnsi="Lato" w:cs="Times New Roman"/>
        </w:rPr>
        <w:t xml:space="preserve"> aneksem nr 2 z dnia 17 września 2024 r.</w:t>
      </w:r>
      <w:r w:rsidR="000C0CBE" w:rsidRPr="000C0CBE">
        <w:rPr>
          <w:rFonts w:ascii="Lato" w:hAnsi="Lato" w:cs="Times New Roman"/>
        </w:rPr>
        <w:t xml:space="preserve"> oraz aneksem nr 3 z dnia 8 czerwca 2025 r.</w:t>
      </w:r>
      <w:r w:rsidRPr="000C0CBE">
        <w:rPr>
          <w:rFonts w:ascii="Lato" w:hAnsi="Lato" w:cs="Times New Roman"/>
        </w:rPr>
        <w:t>,</w:t>
      </w:r>
    </w:p>
    <w:p w14:paraId="305FA391" w14:textId="41BD57DC" w:rsidR="0016039C" w:rsidRPr="00D36CC9" w:rsidRDefault="00A357C2" w:rsidP="00D36CC9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Horyzontalne zasady i kryteria wyboru Przedsięwzięć dla Krajowego Planu Odbudowy i Zwiększania Odporności.</w:t>
      </w:r>
    </w:p>
    <w:p w14:paraId="65E0B2AB" w14:textId="77777777" w:rsidR="001960A6" w:rsidRPr="00DB40B7" w:rsidRDefault="001960A6" w:rsidP="00DB40B7">
      <w:pPr>
        <w:spacing w:before="120" w:line="276" w:lineRule="auto"/>
        <w:ind w:left="357"/>
        <w:contextualSpacing/>
        <w:jc w:val="both"/>
        <w:rPr>
          <w:rFonts w:ascii="Lato" w:hAnsi="Lato" w:cs="Times New Roman"/>
          <w:b/>
        </w:rPr>
      </w:pPr>
    </w:p>
    <w:p w14:paraId="05C05F3E" w14:textId="4289827C" w:rsidR="00DB4D22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" w:name="_Toc215840739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2"/>
      <w:bookmarkEnd w:id="4"/>
    </w:p>
    <w:p w14:paraId="2A597874" w14:textId="00595CD7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2.</w:t>
      </w:r>
    </w:p>
    <w:bookmarkEnd w:id="3"/>
    <w:p w14:paraId="4515BD4C" w14:textId="1DAF613B" w:rsidR="00E43F3B" w:rsidRPr="00925B2C" w:rsidRDefault="00E43F3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925B2C">
        <w:rPr>
          <w:rFonts w:ascii="Lato" w:hAnsi="Lato" w:cs="Times New Roman"/>
        </w:rPr>
        <w:t>– oznacza system teleinformatyczny, o którym mowa w art. 3 pkt 3 ustawy z dnia 17 lutego 2005 r. o informatyzacji działalności podmiotów realizujących zadania publiczne (Dz. U. z 202</w:t>
      </w:r>
      <w:r w:rsidR="00A20AA5">
        <w:rPr>
          <w:rFonts w:ascii="Lato" w:hAnsi="Lato" w:cs="Times New Roman"/>
        </w:rPr>
        <w:t>4</w:t>
      </w:r>
      <w:r w:rsidRPr="00925B2C">
        <w:rPr>
          <w:rFonts w:ascii="Lato" w:hAnsi="Lato" w:cs="Times New Roman"/>
        </w:rPr>
        <w:t xml:space="preserve"> r., poz. </w:t>
      </w:r>
      <w:r w:rsidR="00A20AA5">
        <w:rPr>
          <w:rFonts w:ascii="Lato" w:hAnsi="Lato" w:cs="Times New Roman"/>
        </w:rPr>
        <w:t>1557</w:t>
      </w:r>
      <w:r w:rsidRPr="00925B2C">
        <w:rPr>
          <w:rFonts w:ascii="Lato" w:hAnsi="Lato" w:cs="Times New Roman"/>
        </w:rPr>
        <w:t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 (https://sso.cst2021.gov.pl).</w:t>
      </w:r>
    </w:p>
    <w:p w14:paraId="239C9EA4" w14:textId="7668B69F" w:rsidR="00A52310" w:rsidRPr="00E4035F" w:rsidRDefault="005408C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E20454" w:rsidRPr="00E20454">
        <w:rPr>
          <w:rFonts w:ascii="Lato" w:hAnsi="Lato" w:cs="Times New Roman"/>
        </w:rPr>
        <w:t>grupa beneficjentów rzeczywistych, którą OOW zakwalifikował do otrzymywania wsparcia w ramach realizowanego przedsięwzięcia</w:t>
      </w:r>
      <w:r w:rsidR="00E20454">
        <w:rPr>
          <w:rFonts w:ascii="Lato" w:hAnsi="Lato" w:cs="Times New Roman"/>
        </w:rPr>
        <w:t xml:space="preserve">. </w:t>
      </w:r>
    </w:p>
    <w:p w14:paraId="017D0D9B" w14:textId="2400718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oordynująca </w:t>
      </w:r>
      <w:r w:rsidR="00E43F3B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E43F3B">
        <w:rPr>
          <w:rFonts w:ascii="Lato" w:hAnsi="Lato" w:cs="Times New Roman"/>
        </w:rPr>
        <w:t xml:space="preserve">Odbudowy i Zwiększania Odporności (dalej jako Plan </w:t>
      </w:r>
      <w:r w:rsidRPr="00E4035F">
        <w:rPr>
          <w:rFonts w:ascii="Lato" w:hAnsi="Lato" w:cs="Times New Roman"/>
        </w:rPr>
        <w:t>rozwojowy</w:t>
      </w:r>
      <w:r w:rsidR="00E43F3B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</w:t>
      </w:r>
      <w:r w:rsidR="00B616AD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funkcję </w:t>
      </w:r>
      <w:r w:rsidR="00B616AD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4A03E" w:rsidR="007601FA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O</w:t>
      </w:r>
      <w:r w:rsidRPr="00E4035F">
        <w:rPr>
          <w:rFonts w:ascii="Lato" w:hAnsi="Lato" w:cs="Times New Roman"/>
        </w:rPr>
        <w:t>dpowiedzialna za realizację inwestycji</w:t>
      </w:r>
      <w:r w:rsidR="00F67A50">
        <w:rPr>
          <w:rFonts w:ascii="Lato" w:hAnsi="Lato" w:cs="Times New Roman"/>
        </w:rPr>
        <w:t xml:space="preserve">, </w:t>
      </w:r>
      <w:r w:rsidR="00F67A50" w:rsidRPr="00F67A50">
        <w:rPr>
          <w:rFonts w:ascii="Lato" w:hAnsi="Lato" w:cs="Times New Roman"/>
        </w:rPr>
        <w:t>funkcję tę sprawuje minister właściwy ds. zdrowia</w:t>
      </w:r>
      <w:r w:rsidR="00CF74EC">
        <w:rPr>
          <w:rFonts w:ascii="Lato" w:hAnsi="Lato" w:cs="Times New Roman"/>
        </w:rPr>
        <w:t>.</w:t>
      </w:r>
    </w:p>
    <w:p w14:paraId="36E6E28B" w14:textId="04E1EEE0" w:rsidR="00DA6BDE" w:rsidRPr="00E4035F" w:rsidRDefault="00A52310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5" w:name="_Hlk129692050"/>
      <w:r w:rsidRPr="00E4035F">
        <w:rPr>
          <w:rFonts w:ascii="Lato" w:hAnsi="Lato" w:cs="Times New Roman"/>
          <w:b/>
          <w:bCs/>
        </w:rPr>
        <w:t xml:space="preserve">KPO </w:t>
      </w:r>
      <w:r w:rsidRPr="00E4035F">
        <w:rPr>
          <w:rFonts w:ascii="Lato" w:hAnsi="Lato" w:cs="Times New Roman"/>
        </w:rPr>
        <w:t xml:space="preserve">– Krajowy Plan Odbudowy i Zwiększania Odporności,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5"/>
    </w:p>
    <w:p w14:paraId="39D7F94C" w14:textId="4CC35C08" w:rsidR="007601FA" w:rsidRPr="00E4035F" w:rsidRDefault="007601F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lastRenderedPageBreak/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</w:t>
      </w:r>
      <w:r w:rsidR="00283906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ryteria horyzontalne i kryteria szczegółowe</w:t>
      </w:r>
      <w:r w:rsidR="00887272">
        <w:rPr>
          <w:rFonts w:ascii="Lato" w:hAnsi="Lato" w:cs="Times New Roman"/>
        </w:rPr>
        <w:t xml:space="preserve"> </w:t>
      </w:r>
      <w:r w:rsidR="005E4912">
        <w:rPr>
          <w:rFonts w:ascii="Lato" w:hAnsi="Lato" w:cs="Times New Roman"/>
        </w:rPr>
        <w:t>wyboru</w:t>
      </w:r>
      <w:r w:rsidRPr="00E4035F">
        <w:rPr>
          <w:rFonts w:ascii="Lato" w:hAnsi="Lato" w:cs="Times New Roman"/>
        </w:rPr>
        <w:t xml:space="preserve"> przedsięwzię</w:t>
      </w:r>
      <w:r w:rsidR="005E4912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5E4912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1 Systemu zachęt</w:t>
      </w:r>
      <w:r w:rsidR="00CF74EC">
        <w:rPr>
          <w:rFonts w:ascii="Lato" w:hAnsi="Lato" w:cs="Times New Roman"/>
        </w:rPr>
        <w:t>, Edycja 2.</w:t>
      </w:r>
    </w:p>
    <w:p w14:paraId="1EE9E000" w14:textId="20A4070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Nabór</w:t>
      </w:r>
      <w:r w:rsidR="005B7FD9" w:rsidRPr="00E4035F">
        <w:rPr>
          <w:rFonts w:ascii="Lato" w:hAnsi="Lato" w:cs="Times New Roman"/>
          <w:b/>
          <w:bCs/>
        </w:rPr>
        <w:t xml:space="preserve"> wstępny – </w:t>
      </w:r>
      <w:r w:rsidR="005B7FD9" w:rsidRPr="00E4035F">
        <w:rPr>
          <w:rFonts w:ascii="Lato" w:hAnsi="Lato" w:cs="Times New Roman"/>
        </w:rPr>
        <w:t xml:space="preserve">pierwszy etap naboru, w ramach którego składane </w:t>
      </w:r>
      <w:r w:rsidR="003B7FD4" w:rsidRPr="00E4035F">
        <w:rPr>
          <w:rFonts w:ascii="Lato" w:hAnsi="Lato" w:cs="Times New Roman"/>
        </w:rPr>
        <w:t>są</w:t>
      </w:r>
      <w:r w:rsidR="005B7FD9" w:rsidRPr="00E4035F">
        <w:rPr>
          <w:rFonts w:ascii="Lato" w:hAnsi="Lato" w:cs="Times New Roman"/>
        </w:rPr>
        <w:t xml:space="preserve">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>nioski wstępne</w:t>
      </w:r>
      <w:r w:rsidR="00563A90" w:rsidRPr="00E4035F">
        <w:rPr>
          <w:rFonts w:ascii="Lato" w:hAnsi="Lato" w:cs="Times New Roman"/>
        </w:rPr>
        <w:t>.</w:t>
      </w:r>
    </w:p>
    <w:p w14:paraId="15B7D295" w14:textId="379FEF69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 xml:space="preserve">– </w:t>
      </w:r>
      <w:r w:rsidR="005B7FD9" w:rsidRPr="00E4035F">
        <w:rPr>
          <w:rFonts w:ascii="Lato" w:hAnsi="Lato" w:cs="Times New Roman"/>
        </w:rPr>
        <w:t xml:space="preserve">drugi etap naboru, w ramach którego składane są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 xml:space="preserve">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65FB1EC2" w14:textId="77777777" w:rsidR="00812122" w:rsidRDefault="00563A90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5E4912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realizujący przedsięwzięcie objęte wsparciem</w:t>
      </w:r>
      <w:r w:rsidRPr="00E4035F">
        <w:rPr>
          <w:rFonts w:ascii="Lato" w:hAnsi="Lato" w:cs="Times New Roman"/>
        </w:rPr>
        <w:t>.</w:t>
      </w:r>
    </w:p>
    <w:p w14:paraId="19385B87" w14:textId="6DD7EA11" w:rsidR="00DA6BDE" w:rsidRPr="00E4035F" w:rsidRDefault="00CF74EC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bookmarkStart w:id="6" w:name="_Hlk204157006"/>
      <w:r w:rsidRPr="00CF74EC">
        <w:rPr>
          <w:rFonts w:ascii="Lato" w:hAnsi="Lato" w:cs="Times New Roman"/>
          <w:b/>
          <w:bCs/>
        </w:rPr>
        <w:t>Podwójne finansowanie</w:t>
      </w:r>
      <w:r w:rsidRPr="00CF74EC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bookmarkEnd w:id="6"/>
      <w:r w:rsidRPr="00CF74EC">
        <w:rPr>
          <w:rFonts w:ascii="Lato" w:hAnsi="Lato" w:cs="Times New Roman"/>
        </w:rPr>
        <w:t>.</w:t>
      </w:r>
    </w:p>
    <w:p w14:paraId="57D1CAC8" w14:textId="07A383AC" w:rsidR="00E4350B" w:rsidRPr="00E4035F" w:rsidRDefault="00E4350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C6185">
        <w:rPr>
          <w:rFonts w:ascii="Lato" w:hAnsi="Lato" w:cs="Times New Roman"/>
          <w:b/>
          <w:bCs/>
        </w:rPr>
        <w:t xml:space="preserve">Przedsięwzięcie </w:t>
      </w:r>
      <w:r w:rsidRPr="00EC6185">
        <w:rPr>
          <w:rFonts w:ascii="Lato" w:hAnsi="Lato" w:cs="Times New Roman"/>
        </w:rPr>
        <w:t xml:space="preserve">– </w:t>
      </w:r>
      <w:bookmarkStart w:id="7" w:name="_Hlk129692228"/>
      <w:r w:rsidR="00554EDE" w:rsidRPr="00EC6185">
        <w:rPr>
          <w:rFonts w:ascii="Lato" w:hAnsi="Lato" w:cs="Times New Roman"/>
        </w:rPr>
        <w:t>element</w:t>
      </w:r>
      <w:r w:rsidRPr="00EC6185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C6185">
        <w:rPr>
          <w:rFonts w:ascii="Lato" w:hAnsi="Lato" w:cs="Times New Roman"/>
        </w:rPr>
        <w:t xml:space="preserve">” </w:t>
      </w:r>
      <w:r w:rsidRPr="00EC6185">
        <w:rPr>
          <w:rFonts w:ascii="Lato" w:hAnsi="Lato" w:cs="Times New Roman"/>
        </w:rPr>
        <w:t>realizowan</w:t>
      </w:r>
      <w:r w:rsidR="006C1D1F" w:rsidRPr="00EC6185">
        <w:rPr>
          <w:rFonts w:ascii="Lato" w:hAnsi="Lato" w:cs="Times New Roman"/>
        </w:rPr>
        <w:t>y</w:t>
      </w:r>
      <w:r w:rsidRPr="00EC6185">
        <w:rPr>
          <w:rFonts w:ascii="Lato" w:hAnsi="Lato" w:cs="Times New Roman"/>
        </w:rPr>
        <w:t xml:space="preserve"> przez </w:t>
      </w:r>
      <w:r w:rsidR="00563A90" w:rsidRPr="00EC6185">
        <w:rPr>
          <w:rFonts w:ascii="Lato" w:hAnsi="Lato" w:cs="Times New Roman"/>
        </w:rPr>
        <w:t>OOW</w:t>
      </w:r>
      <w:r w:rsidRPr="00EC6185">
        <w:rPr>
          <w:rFonts w:ascii="Lato" w:hAnsi="Lato" w:cs="Times New Roman"/>
        </w:rPr>
        <w:t xml:space="preserve"> w ramach KPO</w:t>
      </w:r>
      <w:r w:rsidR="002611DF" w:rsidRPr="00EC6185">
        <w:rPr>
          <w:rFonts w:ascii="Lato" w:hAnsi="Lato" w:cs="Times New Roman"/>
        </w:rPr>
        <w:t>,</w:t>
      </w:r>
      <w:r w:rsidRPr="00EC6185">
        <w:rPr>
          <w:rFonts w:ascii="Lato" w:hAnsi="Lato" w:cs="Times New Roman"/>
        </w:rPr>
        <w:t xml:space="preserve"> </w:t>
      </w:r>
      <w:r w:rsidR="006C1D1F" w:rsidRPr="00EC6185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7"/>
      <w:r w:rsidR="002611DF" w:rsidRPr="00EC6185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 xml:space="preserve">: </w:t>
      </w:r>
      <w:r w:rsidR="00866F61">
        <w:rPr>
          <w:rFonts w:ascii="Lato" w:hAnsi="Lato" w:cs="Times New Roman"/>
        </w:rPr>
        <w:t>O</w:t>
      </w:r>
      <w:r w:rsidR="00436581" w:rsidRPr="00E4035F">
        <w:rPr>
          <w:rFonts w:ascii="Lato" w:hAnsi="Lato" w:cs="Times New Roman"/>
        </w:rPr>
        <w:t xml:space="preserve">bjęcie wsparciem ze środków </w:t>
      </w:r>
      <w:r w:rsidR="00F676DE" w:rsidRPr="00E4035F">
        <w:rPr>
          <w:rFonts w:ascii="Lato" w:hAnsi="Lato" w:cs="Times New Roman"/>
        </w:rPr>
        <w:t>P</w:t>
      </w:r>
      <w:r w:rsidR="00436581" w:rsidRPr="00E4035F">
        <w:rPr>
          <w:rFonts w:ascii="Lato" w:hAnsi="Lato" w:cs="Times New Roman"/>
        </w:rPr>
        <w:t>lanu rozwojowego</w:t>
      </w:r>
      <w:r w:rsidR="00F676DE" w:rsidRPr="00E4035F">
        <w:rPr>
          <w:rFonts w:ascii="Lato" w:hAnsi="Lato" w:cs="Times New Roman"/>
        </w:rPr>
        <w:t>,</w:t>
      </w:r>
      <w:r w:rsidR="005E4912">
        <w:rPr>
          <w:rFonts w:ascii="Lato" w:hAnsi="Lato" w:cs="Times New Roman"/>
        </w:rPr>
        <w:t xml:space="preserve"> </w:t>
      </w:r>
      <w:r w:rsidR="002454CD">
        <w:rPr>
          <w:rFonts w:ascii="Lato" w:hAnsi="Lato" w:cs="Times New Roman"/>
        </w:rPr>
        <w:t xml:space="preserve">Przedsięwzięcia </w:t>
      </w:r>
      <w:r w:rsidR="00F676DE" w:rsidRPr="00E4035F">
        <w:rPr>
          <w:rFonts w:ascii="Lato" w:hAnsi="Lato" w:cs="Times New Roman"/>
        </w:rPr>
        <w:t xml:space="preserve"> </w:t>
      </w:r>
      <w:r w:rsidR="00436581" w:rsidRPr="00E4035F">
        <w:rPr>
          <w:rFonts w:ascii="Lato" w:hAnsi="Lato" w:cs="Times New Roman"/>
        </w:rPr>
        <w:t>w postaci stypendiów dla studentów kierunku lekarskiego, lekarsko – dentystycznego, analityka medyczna, fizjoterapia oraz farmacja</w:t>
      </w:r>
      <w:r w:rsidR="00887272">
        <w:rPr>
          <w:rFonts w:ascii="Lato" w:hAnsi="Lato" w:cs="Times New Roman"/>
        </w:rPr>
        <w:t>.</w:t>
      </w:r>
      <w:r w:rsidR="005E4912">
        <w:rPr>
          <w:rFonts w:ascii="Lato" w:hAnsi="Lato" w:cs="Times New Roman"/>
        </w:rPr>
        <w:t xml:space="preserve"> Edycja </w:t>
      </w:r>
      <w:r w:rsidR="00127E7D">
        <w:rPr>
          <w:rFonts w:ascii="Lato" w:hAnsi="Lato" w:cs="Times New Roman"/>
        </w:rPr>
        <w:t>2</w:t>
      </w:r>
      <w:r w:rsidR="005E4912">
        <w:rPr>
          <w:rFonts w:ascii="Lato" w:hAnsi="Lato" w:cs="Times New Roman"/>
        </w:rPr>
        <w:t xml:space="preserve">, rok akademicki </w:t>
      </w:r>
      <w:r w:rsidR="00127E7D">
        <w:rPr>
          <w:rFonts w:ascii="Lato" w:hAnsi="Lato" w:cs="Times New Roman"/>
        </w:rPr>
        <w:t>2023</w:t>
      </w:r>
      <w:r w:rsidR="005E4912">
        <w:rPr>
          <w:rFonts w:ascii="Lato" w:hAnsi="Lato" w:cs="Times New Roman"/>
        </w:rPr>
        <w:t>/202</w:t>
      </w:r>
      <w:r w:rsidR="00127E7D">
        <w:rPr>
          <w:rFonts w:ascii="Lato" w:hAnsi="Lato" w:cs="Times New Roman"/>
        </w:rPr>
        <w:t>4</w:t>
      </w:r>
      <w:r w:rsidR="00204628">
        <w:rPr>
          <w:rFonts w:ascii="Lato" w:hAnsi="Lato" w:cs="Times New Roman"/>
        </w:rPr>
        <w:t>.</w:t>
      </w:r>
      <w:r w:rsidR="00127E7D">
        <w:rPr>
          <w:rFonts w:ascii="Lato" w:hAnsi="Lato" w:cs="Times New Roman"/>
        </w:rPr>
        <w:t xml:space="preserve"> </w:t>
      </w:r>
    </w:p>
    <w:p w14:paraId="7D2CE4B1" w14:textId="44442983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</w:t>
      </w:r>
      <w:proofErr w:type="spellStart"/>
      <w:r w:rsidRPr="00E4035F">
        <w:rPr>
          <w:rFonts w:ascii="Lato" w:hAnsi="Lato" w:cs="Times New Roman"/>
          <w:b/>
          <w:bCs/>
        </w:rPr>
        <w:t>Recovery</w:t>
      </w:r>
      <w:proofErr w:type="spellEnd"/>
      <w:r w:rsidRPr="00E4035F">
        <w:rPr>
          <w:rFonts w:ascii="Lato" w:hAnsi="Lato" w:cs="Times New Roman"/>
          <w:b/>
          <w:bCs/>
        </w:rPr>
        <w:t xml:space="preserve"> and </w:t>
      </w:r>
      <w:proofErr w:type="spellStart"/>
      <w:r w:rsidRPr="00E4035F">
        <w:rPr>
          <w:rFonts w:ascii="Lato" w:hAnsi="Lato" w:cs="Times New Roman"/>
          <w:b/>
          <w:bCs/>
        </w:rPr>
        <w:t>Resilience</w:t>
      </w:r>
      <w:proofErr w:type="spellEnd"/>
      <w:r w:rsidRPr="00E4035F">
        <w:rPr>
          <w:rFonts w:ascii="Lato" w:hAnsi="Lato" w:cs="Times New Roman"/>
          <w:b/>
          <w:bCs/>
        </w:rPr>
        <w:t xml:space="preserve"> </w:t>
      </w:r>
      <w:proofErr w:type="spellStart"/>
      <w:r w:rsidRPr="00E4035F">
        <w:rPr>
          <w:rFonts w:ascii="Lato" w:hAnsi="Lato" w:cs="Times New Roman"/>
          <w:b/>
          <w:bCs/>
        </w:rPr>
        <w:t>Facility</w:t>
      </w:r>
      <w:proofErr w:type="spellEnd"/>
      <w:r w:rsidRPr="00E4035F">
        <w:rPr>
          <w:rFonts w:ascii="Lato" w:hAnsi="Lato" w:cs="Times New Roman"/>
          <w:b/>
          <w:bCs/>
        </w:rPr>
        <w:t xml:space="preserve">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1629D9DE" w14:textId="5BE8EAE7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812122">
        <w:rPr>
          <w:rFonts w:ascii="Lato" w:hAnsi="Lato" w:cs="Times New Roman"/>
          <w:b/>
        </w:rPr>
        <w:t xml:space="preserve">System Arachne </w:t>
      </w:r>
      <w:r w:rsidRPr="008121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8121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46C3F8E8" w14:textId="1F084E52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  <w:b/>
        </w:rPr>
        <w:t>System SKANER</w:t>
      </w:r>
      <w:r w:rsidRPr="00812122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812122">
        <w:rPr>
          <w:rFonts w:ascii="Lato" w:hAnsi="Lato" w:cs="Times New Roman"/>
          <w:bCs/>
        </w:rPr>
        <w:t>CEiDG</w:t>
      </w:r>
      <w:proofErr w:type="spellEnd"/>
      <w:r w:rsidRPr="00812122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812122">
        <w:rPr>
          <w:rFonts w:ascii="Lato" w:hAnsi="Lato" w:cs="Times New Roman"/>
          <w:bCs/>
        </w:rPr>
        <w:t>pkd</w:t>
      </w:r>
      <w:proofErr w:type="spellEnd"/>
      <w:r w:rsidRPr="00812122">
        <w:rPr>
          <w:rFonts w:ascii="Lato" w:hAnsi="Lato" w:cs="Times New Roman"/>
          <w:bCs/>
        </w:rPr>
        <w:t>, informacje o realizowanych projektach, informacje o zamówieniach.</w:t>
      </w:r>
    </w:p>
    <w:p w14:paraId="6A03D766" w14:textId="4FD73248" w:rsidR="00A52310" w:rsidRPr="00C51D24" w:rsidRDefault="001C5DCF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C51D24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C51D24">
        <w:rPr>
          <w:rFonts w:ascii="Lato" w:hAnsi="Lato" w:cs="Times New Roman"/>
        </w:rPr>
        <w:t>umowa zawierana z Wnioskodawcą, którego przedsięwzięcie zostało wybrane do objęcia wsparciem z Planu rozwojowego.</w:t>
      </w:r>
    </w:p>
    <w:p w14:paraId="0C31D8F2" w14:textId="39398D93" w:rsidR="00A52310" w:rsidRPr="00C51D24" w:rsidRDefault="00A52310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/>
          <w:color w:val="000000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lastRenderedPageBreak/>
        <w:t xml:space="preserve">Wniosek o objęcie </w:t>
      </w:r>
      <w:r w:rsidR="00543246"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8" w:name="_Hlk129694562"/>
      <w:r w:rsidRPr="00C51D24">
        <w:rPr>
          <w:rFonts w:ascii="Lato" w:eastAsiaTheme="minorHAnsi" w:hAnsi="Lato" w:cs="Times New Roman"/>
          <w:color w:val="000000"/>
          <w:lang w:eastAsia="en-US"/>
        </w:rPr>
        <w:t>w ramach Działania 1 Systemu zachęt,</w:t>
      </w:r>
      <w:r w:rsidR="00F96115" w:rsidRPr="00C51D24">
        <w:rPr>
          <w:rFonts w:ascii="Lato" w:eastAsiaTheme="minorHAnsi" w:hAnsi="Lato" w:cs="Times New Roman"/>
          <w:color w:val="000000"/>
          <w:lang w:eastAsia="en-US"/>
        </w:rPr>
        <w:t xml:space="preserve"> wraz z załącznikami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składany poprzez system CST2021</w:t>
      </w:r>
      <w:bookmarkEnd w:id="8"/>
      <w:r w:rsidR="00F96115" w:rsidRPr="00C51D24">
        <w:rPr>
          <w:rFonts w:ascii="Lato" w:eastAsiaTheme="minorHAnsi" w:hAnsi="Lato" w:cs="Times New Roman"/>
          <w:color w:val="000000"/>
          <w:lang w:eastAsia="en-US"/>
        </w:rPr>
        <w:t>, stanowiący dokumentację aplikacyjną</w:t>
      </w:r>
      <w:r w:rsidR="00C36A0A" w:rsidRPr="00C51D24">
        <w:rPr>
          <w:rFonts w:ascii="Lato" w:hAnsi="Lato"/>
          <w:color w:val="000000"/>
        </w:rPr>
        <w:t>.</w:t>
      </w:r>
    </w:p>
    <w:p w14:paraId="740CC1A7" w14:textId="2841F659" w:rsidR="00470E15" w:rsidRPr="00C51D24" w:rsidRDefault="00470E15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</w:t>
      </w:r>
    </w:p>
    <w:p w14:paraId="1A2A209D" w14:textId="180F83F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Wniosek wstępny – </w:t>
      </w:r>
      <w:r w:rsidRPr="00E4035F">
        <w:rPr>
          <w:rFonts w:ascii="Lato" w:hAnsi="Lato" w:cs="Times New Roman"/>
        </w:rPr>
        <w:t>wniosek</w:t>
      </w:r>
      <w:r w:rsidR="00C52BF7" w:rsidRPr="00C52BF7">
        <w:t xml:space="preserve"> </w:t>
      </w:r>
      <w:r w:rsidR="00C52BF7" w:rsidRPr="00C52BF7">
        <w:rPr>
          <w:rFonts w:ascii="Lato" w:hAnsi="Lato" w:cs="Times New Roman"/>
        </w:rPr>
        <w:t xml:space="preserve">składany </w:t>
      </w:r>
      <w:r w:rsidR="009C6366">
        <w:rPr>
          <w:rFonts w:ascii="Lato" w:hAnsi="Lato" w:cs="Times New Roman"/>
        </w:rPr>
        <w:t xml:space="preserve">przez uczelnię </w:t>
      </w:r>
      <w:r w:rsidR="00C52BF7" w:rsidRPr="00C52BF7">
        <w:rPr>
          <w:rFonts w:ascii="Lato" w:hAnsi="Lato" w:cs="Times New Roman"/>
        </w:rPr>
        <w:t xml:space="preserve">poprzez system </w:t>
      </w:r>
      <w:proofErr w:type="spellStart"/>
      <w:r w:rsidR="00C52BF7" w:rsidRPr="00C52BF7">
        <w:rPr>
          <w:rFonts w:ascii="Lato" w:hAnsi="Lato" w:cs="Times New Roman"/>
        </w:rPr>
        <w:t>ePUAP</w:t>
      </w:r>
      <w:proofErr w:type="spellEnd"/>
      <w:r w:rsidR="00C51D24">
        <w:rPr>
          <w:rFonts w:ascii="Lato" w:hAnsi="Lato" w:cs="Times New Roman"/>
        </w:rPr>
        <w:t>/poprzez skrzynkę e-Doręczeń</w:t>
      </w:r>
      <w:r w:rsidRPr="00E4035F">
        <w:rPr>
          <w:rFonts w:ascii="Lato" w:hAnsi="Lato" w:cs="Times New Roman"/>
        </w:rPr>
        <w:t xml:space="preserve">, na podstawie którego IOI określi </w:t>
      </w:r>
      <w:r w:rsidR="00AF4047">
        <w:rPr>
          <w:rFonts w:ascii="Lato" w:hAnsi="Lato" w:cs="Times New Roman"/>
        </w:rPr>
        <w:t>dla</w:t>
      </w:r>
      <w:r w:rsidR="00C52BF7">
        <w:rPr>
          <w:rFonts w:ascii="Lato" w:hAnsi="Lato" w:cs="Times New Roman"/>
        </w:rPr>
        <w:t xml:space="preserve"> każdej uczelni </w:t>
      </w:r>
      <w:r w:rsidRPr="00E4035F">
        <w:rPr>
          <w:rFonts w:ascii="Lato" w:hAnsi="Lato" w:cs="Times New Roman"/>
        </w:rPr>
        <w:t>jednolity procent liczby studentów</w:t>
      </w:r>
      <w:r w:rsidR="00C52BF7">
        <w:rPr>
          <w:rFonts w:ascii="Lato" w:hAnsi="Lato" w:cs="Times New Roman"/>
        </w:rPr>
        <w:t xml:space="preserve"> (</w:t>
      </w:r>
      <w:r w:rsidR="00C52BF7" w:rsidRPr="00C52BF7">
        <w:rPr>
          <w:rFonts w:ascii="Lato" w:hAnsi="Lato" w:cs="Times New Roman"/>
        </w:rPr>
        <w:t>wraz ze wskazaniem liczby studentów odpowiadającej jednolitemu procentowi</w:t>
      </w:r>
      <w:r w:rsidR="00C52BF7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 którzy będą mogli otrzymać stypendium</w:t>
      </w:r>
      <w:r w:rsidR="00C36A0A" w:rsidRPr="00E4035F">
        <w:rPr>
          <w:rFonts w:ascii="Lato" w:hAnsi="Lato" w:cs="Times New Roman"/>
        </w:rPr>
        <w:t>.</w:t>
      </w:r>
    </w:p>
    <w:p w14:paraId="4A3C24EB" w14:textId="63E35FA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2B29E2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nioskodawcą uprawnionym do złożenia  wniosku wstępnego oraz wniosku o objęcie przedsięwzięcia wsparciem jest uczelnia wyższa określona w Działaniu 1 Systemu zachęt</w:t>
      </w:r>
      <w:r w:rsidR="00C36A0A" w:rsidRPr="00E4035F">
        <w:rPr>
          <w:rFonts w:ascii="Lato" w:hAnsi="Lato" w:cs="Times New Roman"/>
        </w:rPr>
        <w:t>.</w:t>
      </w:r>
    </w:p>
    <w:p w14:paraId="6766F800" w14:textId="1A52A592" w:rsidR="00470E15" w:rsidRDefault="00C51D24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470E15" w:rsidRPr="00C51D24">
        <w:rPr>
          <w:rFonts w:ascii="Lato" w:hAnsi="Lato" w:cs="Times New Roman"/>
          <w:b/>
          <w:bCs/>
        </w:rPr>
        <w:t>Wydatek kwalifikowalny</w:t>
      </w:r>
      <w:r w:rsidR="00470E15" w:rsidRPr="00C51D24">
        <w:rPr>
          <w:rFonts w:ascii="Lato" w:hAnsi="Lato" w:cs="Times New Roman"/>
        </w:rPr>
        <w:t xml:space="preserve"> – oznacza koszt lub wydatek poniesiony w związku z realizacją Przedsięwzięcia, który spełnia kryteria refundacji lub rozliczenia (w przypadku systemu zaliczkowego) zgodnie z Umową, określony w </w:t>
      </w:r>
      <w:r w:rsidR="00470E15" w:rsidRPr="00C51D24">
        <w:rPr>
          <w:rFonts w:ascii="Lato" w:hAnsi="Lato" w:cs="Times New Roman"/>
          <w:b/>
          <w:bCs/>
        </w:rPr>
        <w:t xml:space="preserve">§ 7 pkt 1. </w:t>
      </w:r>
      <w:r w:rsidR="00470E15" w:rsidRPr="00C51D24">
        <w:rPr>
          <w:rFonts w:ascii="Lato" w:hAnsi="Lato" w:cs="Times New Roman"/>
        </w:rPr>
        <w:t>Regulaminu.</w:t>
      </w:r>
    </w:p>
    <w:p w14:paraId="5861A599" w14:textId="0E0415B1" w:rsidR="00EF1698" w:rsidRPr="00EF1698" w:rsidRDefault="00EF1698" w:rsidP="00EF1698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</w:t>
      </w:r>
      <w:r>
        <w:rPr>
          <w:rFonts w:ascii="Lato" w:eastAsia="Times New Roman" w:hAnsi="Lato" w:cs="Arial"/>
        </w:rPr>
        <w:t>.</w:t>
      </w:r>
    </w:p>
    <w:p w14:paraId="7189EC20" w14:textId="77777777" w:rsidR="009C17B2" w:rsidRPr="00E4035F" w:rsidRDefault="009C17B2" w:rsidP="000706E5">
      <w:pPr>
        <w:spacing w:before="120" w:line="276" w:lineRule="auto"/>
        <w:jc w:val="both"/>
        <w:rPr>
          <w:rFonts w:ascii="Lato" w:hAnsi="Lato" w:cs="Times New Roman"/>
        </w:rPr>
      </w:pPr>
    </w:p>
    <w:p w14:paraId="4E9B66B3" w14:textId="30A47A5A" w:rsidR="001E4F9E" w:rsidRDefault="00204628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9" w:name="_Toc127872619"/>
      <w:bookmarkStart w:id="10" w:name="_Toc215840740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9"/>
      <w:bookmarkEnd w:id="10"/>
    </w:p>
    <w:p w14:paraId="5EBE67CB" w14:textId="7B5A2F53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3.</w:t>
      </w:r>
    </w:p>
    <w:p w14:paraId="42E289BD" w14:textId="46AAC674" w:rsidR="006C1B71" w:rsidRDefault="00204628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 do objęcia wsparciem w postaci </w:t>
      </w:r>
      <w:r w:rsidR="00C8013C" w:rsidRPr="00160252">
        <w:rPr>
          <w:rStyle w:val="ui-provider"/>
          <w:rFonts w:ascii="Lato" w:hAnsi="Lato" w:cs="Times New Roman"/>
          <w:b/>
          <w:bCs/>
        </w:rPr>
        <w:t>stypendiów</w:t>
      </w:r>
      <w:r w:rsidR="00C8013C" w:rsidRPr="00E4035F">
        <w:rPr>
          <w:rStyle w:val="ui-provider"/>
          <w:rFonts w:ascii="Lato" w:hAnsi="Lato" w:cs="Times New Roman"/>
        </w:rPr>
        <w:t xml:space="preserve"> wypłacanych student</w:t>
      </w:r>
      <w:r w:rsidR="00945343" w:rsidRPr="00E4035F">
        <w:rPr>
          <w:rStyle w:val="ui-provider"/>
          <w:rFonts w:ascii="Lato" w:hAnsi="Lato" w:cs="Times New Roman"/>
        </w:rPr>
        <w:t>om</w:t>
      </w:r>
      <w:r w:rsidR="00AE2306" w:rsidRPr="00E4035F">
        <w:rPr>
          <w:rStyle w:val="ui-provider"/>
          <w:rFonts w:ascii="Lato" w:hAnsi="Lato" w:cs="Times New Roman"/>
        </w:rPr>
        <w:t>,</w:t>
      </w:r>
      <w:r w:rsidR="00C8013C" w:rsidRPr="00E4035F">
        <w:rPr>
          <w:rStyle w:val="ui-provider"/>
          <w:rFonts w:ascii="Lato" w:hAnsi="Lato" w:cs="Times New Roman"/>
        </w:rPr>
        <w:t xml:space="preserve">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którzy od </w:t>
      </w:r>
      <w:r w:rsidR="00975B92" w:rsidRPr="00160252">
        <w:rPr>
          <w:rStyle w:val="ui-provider"/>
          <w:rFonts w:ascii="Lato" w:hAnsi="Lato" w:cs="Times New Roman"/>
          <w:b/>
          <w:bCs/>
        </w:rPr>
        <w:t xml:space="preserve">semestru zimowego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roku akademickiego </w:t>
      </w:r>
      <w:r w:rsidR="00591C51" w:rsidRPr="00160252">
        <w:rPr>
          <w:rStyle w:val="ui-provider"/>
          <w:rFonts w:ascii="Lato" w:hAnsi="Lato" w:cs="Times New Roman"/>
          <w:b/>
          <w:bCs/>
        </w:rPr>
        <w:t>2023</w:t>
      </w:r>
      <w:r w:rsidR="00C8013C" w:rsidRPr="00160252">
        <w:rPr>
          <w:rStyle w:val="ui-provider"/>
          <w:rFonts w:ascii="Lato" w:hAnsi="Lato" w:cs="Times New Roman"/>
          <w:b/>
          <w:bCs/>
        </w:rPr>
        <w:t>/</w:t>
      </w:r>
      <w:r w:rsidR="00591C51" w:rsidRPr="00160252">
        <w:rPr>
          <w:rStyle w:val="ui-provider"/>
          <w:rFonts w:ascii="Lato" w:hAnsi="Lato" w:cs="Times New Roman"/>
          <w:b/>
          <w:bCs/>
        </w:rPr>
        <w:t xml:space="preserve">2024 </w:t>
      </w:r>
      <w:r w:rsidR="00C8013C" w:rsidRPr="00160252">
        <w:rPr>
          <w:rStyle w:val="ui-provider"/>
          <w:rFonts w:ascii="Lato" w:hAnsi="Lato" w:cs="Times New Roman"/>
          <w:b/>
          <w:bCs/>
        </w:rPr>
        <w:t>rozpocz</w:t>
      </w:r>
      <w:r w:rsidR="00945343" w:rsidRPr="00160252">
        <w:rPr>
          <w:rStyle w:val="ui-provider"/>
          <w:rFonts w:ascii="Lato" w:hAnsi="Lato" w:cs="Times New Roman"/>
          <w:b/>
          <w:bCs/>
        </w:rPr>
        <w:t>ęli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 kształcenie na I roku </w:t>
      </w:r>
      <w:r w:rsidR="00906B03" w:rsidRPr="00160252">
        <w:rPr>
          <w:rStyle w:val="ui-provider"/>
          <w:rFonts w:ascii="Lato" w:hAnsi="Lato" w:cs="Times New Roman"/>
          <w:b/>
          <w:bCs/>
        </w:rPr>
        <w:t xml:space="preserve">jednolitych studiów magisterskich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kierunku </w:t>
      </w:r>
      <w:r w:rsidR="00C8013C" w:rsidRPr="00160252">
        <w:rPr>
          <w:rStyle w:val="ui-provider"/>
          <w:rFonts w:ascii="Lato" w:hAnsi="Lato" w:cs="Times New Roman"/>
        </w:rPr>
        <w:t>lekarskiego, lekarsko-dentystycznego, analityka medyczna, fizjoterapia oraz farmacja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, studiów stacjonarnych lub niestacjonarnych </w:t>
      </w:r>
      <w:r w:rsidR="00585C3D" w:rsidRPr="00160252">
        <w:rPr>
          <w:rFonts w:ascii="Lato" w:hAnsi="Lato" w:cs="Times New Roman"/>
          <w:b/>
          <w:bCs/>
        </w:rPr>
        <w:t xml:space="preserve">w uczelni publicznej lub uczelni niepublicznej </w:t>
      </w:r>
      <w:r w:rsidR="00C8013C" w:rsidRPr="00160252">
        <w:rPr>
          <w:rStyle w:val="ui-provider"/>
          <w:rFonts w:ascii="Lato" w:hAnsi="Lato" w:cs="Times New Roman"/>
          <w:b/>
          <w:bCs/>
        </w:rPr>
        <w:t>przez okres łączny trzech lat</w:t>
      </w:r>
      <w:r w:rsidR="001908B7">
        <w:rPr>
          <w:rStyle w:val="ui-provider"/>
          <w:rFonts w:ascii="Lato" w:hAnsi="Lato" w:cs="Times New Roman"/>
        </w:rPr>
        <w:t xml:space="preserve"> - </w:t>
      </w:r>
      <w:r w:rsidR="001908B7" w:rsidRPr="001908B7">
        <w:rPr>
          <w:rFonts w:ascii="Lato" w:hAnsi="Lato" w:cs="Times New Roman"/>
        </w:rPr>
        <w:t xml:space="preserve">na zasadach określonych w ramach Działania </w:t>
      </w:r>
      <w:r w:rsidR="001908B7">
        <w:rPr>
          <w:rFonts w:ascii="Lato" w:hAnsi="Lato" w:cs="Times New Roman"/>
        </w:rPr>
        <w:t>1</w:t>
      </w:r>
      <w:r w:rsidR="001908B7" w:rsidRPr="001908B7">
        <w:rPr>
          <w:rFonts w:ascii="Lato" w:hAnsi="Lato" w:cs="Times New Roman"/>
        </w:rPr>
        <w:t xml:space="preserve"> Systemu zachęt</w:t>
      </w:r>
      <w:r w:rsidR="00C8013C" w:rsidRPr="00E4035F">
        <w:rPr>
          <w:rStyle w:val="ui-provider"/>
          <w:rFonts w:ascii="Lato" w:hAnsi="Lato" w:cs="Times New Roman"/>
        </w:rPr>
        <w:t xml:space="preserve">. </w:t>
      </w:r>
    </w:p>
    <w:p w14:paraId="2DEBF234" w14:textId="58795C9B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75C65B3C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853B49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6EC509CC" w:rsidR="00997F76" w:rsidRPr="00E4035F" w:rsidRDefault="0018576E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Plan rozwojowy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1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1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71321DAB" w14:textId="217D1B00" w:rsidR="00887272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5D0C0CF4" w:rsidR="00997F76" w:rsidRPr="00E4035F" w:rsidRDefault="0039084C" w:rsidP="000706E5">
      <w:pPr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>w ramach Działania 1 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259DA1D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Komponent</w:t>
            </w:r>
          </w:p>
        </w:tc>
        <w:tc>
          <w:tcPr>
            <w:tcW w:w="7497" w:type="dxa"/>
          </w:tcPr>
          <w:p w14:paraId="7CD20E8C" w14:textId="208C2782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D „Efekt</w:t>
            </w:r>
            <w:r w:rsidR="008F060C" w:rsidRPr="00792B1A">
              <w:rPr>
                <w:rFonts w:ascii="Lato" w:hAnsi="Lato" w:cs="Times New Roman"/>
                <w:sz w:val="22"/>
                <w:szCs w:val="22"/>
              </w:rPr>
              <w:t>y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wność, dostępność i jakość systemu ochrony zdrowia”</w:t>
            </w:r>
          </w:p>
        </w:tc>
      </w:tr>
      <w:tr w:rsidR="00E350DB" w:rsidRPr="00E4035F" w14:paraId="09D27FB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szczegółowy komponentu</w:t>
            </w:r>
          </w:p>
        </w:tc>
        <w:tc>
          <w:tcPr>
            <w:tcW w:w="7497" w:type="dxa"/>
          </w:tcPr>
          <w:p w14:paraId="55E9EA68" w14:textId="3860F12A" w:rsidR="00E350DB" w:rsidRPr="00792B1A" w:rsidRDefault="00EE67BA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 xml:space="preserve">D2. Rozwój kadr systemu ochrony zdrowia oraz wzmocnienie potencjału uczelni medycznych </w:t>
            </w:r>
            <w:r w:rsidR="0010244B" w:rsidRPr="00792B1A">
              <w:rPr>
                <w:rFonts w:ascii="Lato" w:hAnsi="Lato" w:cs="Times New Roman"/>
                <w:sz w:val="22"/>
                <w:szCs w:val="22"/>
              </w:rPr>
              <w:t xml:space="preserve">i 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podmiotów leczniczych biorących udział w kształceniu kadr medycznych</w:t>
            </w:r>
          </w:p>
        </w:tc>
      </w:tr>
      <w:tr w:rsidR="00E350DB" w:rsidRPr="00E4035F" w14:paraId="762591E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Inwestycja</w:t>
            </w:r>
          </w:p>
        </w:tc>
        <w:tc>
          <w:tcPr>
            <w:tcW w:w="7497" w:type="dxa"/>
          </w:tcPr>
          <w:p w14:paraId="4648E929" w14:textId="73F306C0" w:rsidR="00E350DB" w:rsidRPr="00792B1A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inwestycji</w:t>
            </w:r>
          </w:p>
        </w:tc>
        <w:tc>
          <w:tcPr>
            <w:tcW w:w="7497" w:type="dxa"/>
          </w:tcPr>
          <w:p w14:paraId="33117582" w14:textId="6D1636F0" w:rsidR="00E350DB" w:rsidRPr="00792B1A" w:rsidRDefault="001908B7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</w:t>
            </w:r>
          </w:p>
        </w:tc>
      </w:tr>
    </w:tbl>
    <w:p w14:paraId="4FB1E47B" w14:textId="5A76F2CE" w:rsidR="00792B1A" w:rsidRPr="00792B1A" w:rsidRDefault="00792B1A" w:rsidP="00792B1A">
      <w:pPr>
        <w:spacing w:before="120" w:line="276" w:lineRule="auto"/>
        <w:jc w:val="both"/>
        <w:rPr>
          <w:rFonts w:ascii="Lato" w:hAnsi="Lato"/>
        </w:rPr>
      </w:pPr>
      <w:r w:rsidRPr="00792B1A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</w:t>
      </w:r>
      <w:r w:rsidRPr="00792B1A">
        <w:rPr>
          <w:rFonts w:ascii="Lato" w:hAnsi="Lato"/>
        </w:rPr>
        <w:lastRenderedPageBreak/>
        <w:t xml:space="preserve">Polityki Regionalnej przeprowadza oraz nadzoruje nabór w ramach Działania </w:t>
      </w:r>
      <w:r w:rsidR="00A45E20">
        <w:rPr>
          <w:rFonts w:ascii="Lato" w:hAnsi="Lato"/>
        </w:rPr>
        <w:t>1</w:t>
      </w:r>
      <w:r w:rsidRPr="00792B1A">
        <w:rPr>
          <w:rFonts w:ascii="Lato" w:hAnsi="Lato"/>
        </w:rPr>
        <w:t xml:space="preserve"> Systemu zachęt.</w:t>
      </w:r>
    </w:p>
    <w:p w14:paraId="7BD64E90" w14:textId="1BFDEF92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E811B4">
        <w:rPr>
          <w:rFonts w:ascii="Lato" w:hAnsi="Lato"/>
        </w:rPr>
        <w:t>będzie</w:t>
      </w:r>
      <w:r w:rsidRPr="00E4035F">
        <w:rPr>
          <w:rFonts w:ascii="Lato" w:hAnsi="Lato"/>
        </w:rPr>
        <w:t xml:space="preserve"> 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1 nastąpi po </w:t>
      </w:r>
      <w:r w:rsidR="00C10F04">
        <w:rPr>
          <w:rFonts w:ascii="Lato" w:hAnsi="Lato"/>
        </w:rPr>
        <w:t xml:space="preserve">zawarciu </w:t>
      </w:r>
      <w:r w:rsidR="00BA1DF8" w:rsidRPr="00E4035F">
        <w:rPr>
          <w:rFonts w:ascii="Lato" w:hAnsi="Lato"/>
        </w:rPr>
        <w:t xml:space="preserve"> </w:t>
      </w:r>
      <w:r w:rsidR="00E811B4">
        <w:rPr>
          <w:rFonts w:ascii="Lato" w:hAnsi="Lato"/>
        </w:rPr>
        <w:t>U</w:t>
      </w:r>
      <w:r w:rsidR="00BA1DF8" w:rsidRPr="00E4035F">
        <w:rPr>
          <w:rFonts w:ascii="Lato" w:hAnsi="Lato"/>
        </w:rPr>
        <w:t>mowy</w:t>
      </w:r>
      <w:r w:rsidR="00C10F04">
        <w:rPr>
          <w:rFonts w:ascii="Lato" w:hAnsi="Lato"/>
        </w:rPr>
        <w:t xml:space="preserve"> pomiędzy IOI MZ a OOW</w:t>
      </w:r>
      <w:r w:rsidR="00BA1DF8" w:rsidRPr="00E4035F">
        <w:rPr>
          <w:rFonts w:ascii="Lato" w:hAnsi="Lato"/>
        </w:rPr>
        <w:t xml:space="preserve"> 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począ</w:t>
      </w:r>
      <w:r w:rsidR="00C734B1" w:rsidRPr="00E4035F">
        <w:rPr>
          <w:rFonts w:ascii="Lato" w:hAnsi="Lato"/>
        </w:rPr>
        <w:t xml:space="preserve">tek </w:t>
      </w:r>
      <w:r w:rsidRPr="00E4035F">
        <w:rPr>
          <w:rFonts w:ascii="Lato" w:hAnsi="Lato"/>
        </w:rPr>
        <w:t xml:space="preserve">roku akademickiego 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3</w:t>
      </w:r>
      <w:r w:rsidRPr="00E4035F">
        <w:rPr>
          <w:rFonts w:ascii="Lato" w:hAnsi="Lato"/>
        </w:rPr>
        <w:t>/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4</w:t>
      </w:r>
      <w:r w:rsidR="00E77D47">
        <w:rPr>
          <w:rFonts w:ascii="Lato" w:hAnsi="Lato"/>
        </w:rPr>
        <w:t xml:space="preserve"> - </w:t>
      </w:r>
      <w:r w:rsidR="00591C51">
        <w:rPr>
          <w:rFonts w:ascii="Lato" w:hAnsi="Lato"/>
        </w:rPr>
        <w:t>semestr zimowy</w:t>
      </w:r>
      <w:r w:rsidRPr="00E4035F">
        <w:rPr>
          <w:rFonts w:ascii="Lato" w:hAnsi="Lato"/>
        </w:rPr>
        <w:t>.</w:t>
      </w:r>
      <w:r w:rsidR="00393A45" w:rsidRPr="00E4035F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 xml:space="preserve">Stypendia będą </w:t>
      </w:r>
      <w:r w:rsidR="00096892">
        <w:rPr>
          <w:rFonts w:ascii="Lato" w:hAnsi="Lato"/>
        </w:rPr>
        <w:t xml:space="preserve">przyznawane </w:t>
      </w:r>
      <w:r w:rsidR="009C6366">
        <w:rPr>
          <w:rFonts w:ascii="Lato" w:hAnsi="Lato"/>
        </w:rPr>
        <w:t xml:space="preserve">i wypłacane z wyrównaniem </w:t>
      </w:r>
      <w:r w:rsidR="00096892">
        <w:rPr>
          <w:rFonts w:ascii="Lato" w:hAnsi="Lato"/>
        </w:rPr>
        <w:t>za okres od 01.10.</w:t>
      </w:r>
      <w:r w:rsidR="00591C51">
        <w:rPr>
          <w:rFonts w:ascii="Lato" w:hAnsi="Lato"/>
        </w:rPr>
        <w:t xml:space="preserve">2023 </w:t>
      </w:r>
      <w:r w:rsidR="00096892">
        <w:rPr>
          <w:rFonts w:ascii="Lato" w:hAnsi="Lato"/>
        </w:rPr>
        <w:t>r.</w:t>
      </w:r>
      <w:r w:rsidR="00E20454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>Stypendium będzie obejmowało okres 9 pierwszych miesięcy roku akademickiego</w:t>
      </w:r>
      <w:r w:rsidR="00880171" w:rsidRPr="00E4035F">
        <w:rPr>
          <w:rFonts w:ascii="Lato" w:hAnsi="Lato"/>
        </w:rPr>
        <w:t>.</w:t>
      </w:r>
      <w:r w:rsidR="003F571A" w:rsidRPr="00E4035F">
        <w:rPr>
          <w:rFonts w:ascii="Lato" w:hAnsi="Lato"/>
        </w:rPr>
        <w:t xml:space="preserve">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2D6C92DA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2" w:name="_Toc127872621"/>
      <w:bookmarkStart w:id="13" w:name="_Toc215840741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2"/>
      <w:bookmarkEnd w:id="13"/>
    </w:p>
    <w:p w14:paraId="35504618" w14:textId="584496DC" w:rsidR="001A6159" w:rsidRPr="00D84BFC" w:rsidRDefault="00F03BBC" w:rsidP="00D84BFC">
      <w:pPr>
        <w:pStyle w:val="Akapitzlist"/>
        <w:spacing w:line="276" w:lineRule="auto"/>
        <w:ind w:left="3897" w:firstLine="351"/>
        <w:rPr>
          <w:rFonts w:ascii="Lato" w:hAnsi="Lato"/>
          <w:b/>
          <w:bCs/>
        </w:rPr>
      </w:pPr>
      <w:r w:rsidRPr="00D84BFC">
        <w:rPr>
          <w:rFonts w:ascii="Lato" w:hAnsi="Lato"/>
          <w:b/>
          <w:bCs/>
        </w:rPr>
        <w:t xml:space="preserve">§ </w:t>
      </w:r>
      <w:r w:rsidR="003270E7">
        <w:rPr>
          <w:rFonts w:ascii="Lato" w:hAnsi="Lato"/>
          <w:b/>
          <w:bCs/>
        </w:rPr>
        <w:t>4</w:t>
      </w:r>
      <w:r w:rsidRPr="00D84BFC">
        <w:rPr>
          <w:rFonts w:ascii="Lato" w:hAnsi="Lato"/>
          <w:b/>
          <w:bCs/>
        </w:rPr>
        <w:t>.</w:t>
      </w:r>
    </w:p>
    <w:p w14:paraId="267C6FE4" w14:textId="29A1D5CB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Regulamin określa zasady, na jakich odbywa się nabór i ocena wniosków o objęcie przedsięwzięć wsparciem, w zakresie Działania 1</w:t>
      </w:r>
      <w:r w:rsidR="008F060C">
        <w:rPr>
          <w:rFonts w:ascii="Lato" w:eastAsiaTheme="minorEastAsia" w:hAnsi="Lato"/>
        </w:rPr>
        <w:t xml:space="preserve"> Systemu zachęt:</w:t>
      </w:r>
      <w:r w:rsidR="004A1705">
        <w:rPr>
          <w:rFonts w:ascii="Lato" w:eastAsiaTheme="minorEastAsia" w:hAnsi="Lato"/>
        </w:rPr>
        <w:t xml:space="preserve"> </w:t>
      </w:r>
      <w:r w:rsidRPr="00E4035F">
        <w:rPr>
          <w:rFonts w:ascii="Lato" w:eastAsiaTheme="minorEastAsia" w:hAnsi="Lato"/>
        </w:rPr>
        <w:t>Stypendia dla studentów</w:t>
      </w:r>
      <w:r w:rsidR="009110E3">
        <w:rPr>
          <w:rFonts w:ascii="Lato" w:eastAsiaTheme="minorEastAsia" w:hAnsi="Lato"/>
        </w:rPr>
        <w:t xml:space="preserve"> </w:t>
      </w:r>
      <w:r w:rsidRPr="00E4035F">
        <w:rPr>
          <w:rFonts w:ascii="Lato" w:eastAsiaTheme="minorEastAsia" w:hAnsi="Lato"/>
        </w:rPr>
        <w:t>kierunku lekarskiego, lekarsko-dentystycznego, analityka medyczna, fizjoterapia oraz farmacja</w:t>
      </w:r>
      <w:r w:rsidR="004956C7">
        <w:rPr>
          <w:rFonts w:ascii="Lato" w:eastAsiaTheme="minorEastAsia" w:hAnsi="Lato"/>
        </w:rPr>
        <w:t>, Edycja 2</w:t>
      </w:r>
      <w:r w:rsidRPr="00E4035F">
        <w:rPr>
          <w:rFonts w:ascii="Lato" w:eastAsiaTheme="minorEastAsia" w:hAnsi="Lato"/>
        </w:rPr>
        <w:t>.</w:t>
      </w:r>
      <w:r w:rsidR="00BE2BD1">
        <w:rPr>
          <w:rFonts w:ascii="Lato" w:eastAsiaTheme="minorEastAsia" w:hAnsi="Lato"/>
        </w:rPr>
        <w:t xml:space="preserve"> </w:t>
      </w:r>
      <w:r w:rsidR="004956C7" w:rsidRPr="004956C7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r w:rsidR="004956C7">
        <w:rPr>
          <w:rFonts w:ascii="Lato" w:eastAsiaTheme="minorEastAsia" w:hAnsi="Lato"/>
        </w:rPr>
        <w:t>.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0415D2BD" w:rsidR="00864DA2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EE67BA" w:rsidRPr="00E4035F">
        <w:rPr>
          <w:rFonts w:ascii="Lato" w:hAnsi="Lato" w:cs="Times New Roman"/>
        </w:rPr>
        <w:t xml:space="preserve"> ramach Działania 1 Systemu zachęt </w:t>
      </w:r>
      <w:r w:rsidR="00864DA2" w:rsidRPr="00E4035F">
        <w:rPr>
          <w:rFonts w:ascii="Lato" w:hAnsi="Lato" w:cs="Times New Roman"/>
        </w:rPr>
        <w:t>ma zastosowani</w:t>
      </w:r>
      <w:r w:rsidR="00EE67BA" w:rsidRPr="00E4035F">
        <w:rPr>
          <w:rFonts w:ascii="Lato" w:hAnsi="Lato" w:cs="Times New Roman"/>
        </w:rPr>
        <w:t>e</w:t>
      </w:r>
      <w:r w:rsidR="00864DA2" w:rsidRPr="00E4035F">
        <w:rPr>
          <w:rFonts w:ascii="Lato" w:hAnsi="Lato" w:cs="Times New Roman"/>
        </w:rPr>
        <w:t xml:space="preserve"> procedura </w:t>
      </w:r>
      <w:r w:rsidR="00A45E20">
        <w:rPr>
          <w:rFonts w:ascii="Lato" w:hAnsi="Lato" w:cs="Times New Roman"/>
        </w:rPr>
        <w:t>ponownej oceny przedsięwzięcia</w:t>
      </w:r>
      <w:r w:rsidR="00EE67BA" w:rsidRPr="00E4035F">
        <w:rPr>
          <w:rFonts w:ascii="Lato" w:hAnsi="Lato" w:cs="Times New Roman"/>
        </w:rPr>
        <w:t xml:space="preserve"> opisana w</w:t>
      </w:r>
      <w:r w:rsidRPr="00E4035F">
        <w:rPr>
          <w:rFonts w:ascii="Lato" w:hAnsi="Lato" w:cs="Times New Roman"/>
        </w:rPr>
        <w:t xml:space="preserve"> </w:t>
      </w:r>
      <w:r w:rsidR="00072D84" w:rsidRPr="00E4035F">
        <w:rPr>
          <w:rFonts w:ascii="Lato" w:hAnsi="Lato"/>
        </w:rPr>
        <w:t>§</w:t>
      </w:r>
      <w:r w:rsidR="00B965D7">
        <w:rPr>
          <w:rFonts w:ascii="Lato" w:hAnsi="Lato"/>
        </w:rPr>
        <w:t xml:space="preserve"> </w:t>
      </w:r>
      <w:r w:rsidR="009110E3">
        <w:rPr>
          <w:rFonts w:ascii="Lato" w:hAnsi="Lato" w:cs="Times New Roman"/>
        </w:rPr>
        <w:t>1</w:t>
      </w:r>
      <w:r w:rsidR="00204628">
        <w:rPr>
          <w:rFonts w:ascii="Lato" w:hAnsi="Lato" w:cs="Times New Roman"/>
        </w:rPr>
        <w:t>6</w:t>
      </w:r>
      <w:r w:rsidR="00D91C0E" w:rsidRPr="00E4035F">
        <w:rPr>
          <w:rFonts w:ascii="Lato" w:hAnsi="Lato" w:cs="Times New Roman"/>
        </w:rPr>
        <w:t>.</w:t>
      </w:r>
    </w:p>
    <w:p w14:paraId="27B0A1C4" w14:textId="77777777" w:rsidR="001960A6" w:rsidRDefault="001960A6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545BBAEB" w14:textId="77777777" w:rsidR="009110E3" w:rsidRPr="00E4035F" w:rsidRDefault="009110E3" w:rsidP="009110E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15840742"/>
      <w:r w:rsidRPr="00E4035F">
        <w:rPr>
          <w:rFonts w:ascii="Lato" w:hAnsi="Lato" w:cs="Times New Roman"/>
          <w:b/>
          <w:color w:val="auto"/>
          <w:sz w:val="24"/>
          <w:szCs w:val="24"/>
        </w:rPr>
        <w:t>Kwota przeznaczona na objęcie przedsięwzięć wsparciem</w:t>
      </w:r>
      <w:bookmarkEnd w:id="14"/>
    </w:p>
    <w:p w14:paraId="5E1EAD40" w14:textId="1B3773B1" w:rsidR="009110E3" w:rsidRPr="00E4035F" w:rsidRDefault="009110E3" w:rsidP="009110E3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 xml:space="preserve">. </w:t>
      </w:r>
    </w:p>
    <w:p w14:paraId="59E94EF5" w14:textId="0717F627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Środki przeznaczone na objęcie przedsięwzięć wsparciem pochodzą z</w:t>
      </w:r>
      <w:r w:rsidR="00896F4C" w:rsidRPr="00896F4C">
        <w:rPr>
          <w:rFonts w:ascii="Lato" w:eastAsiaTheme="minorHAnsi" w:hAnsi="Lato" w:cs="Times New Roman"/>
        </w:rPr>
        <w:t xml:space="preserve"> europejskiego   Instrumentu na rzecz Odbudowy i Zwiększania Odporności </w:t>
      </w:r>
      <w:r w:rsidRPr="00E4035F">
        <w:rPr>
          <w:rFonts w:ascii="Lato" w:eastAsiaTheme="minorHAnsi" w:hAnsi="Lato" w:cs="Times New Roman"/>
        </w:rPr>
        <w:t>RRF.</w:t>
      </w:r>
    </w:p>
    <w:p w14:paraId="6686FD9E" w14:textId="6F46C5BE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>Łączny budżet przewidziany na Działanie 1 Systemu zachęt w latach 2022-2026 wynosi 162 mln zł</w:t>
      </w:r>
      <w:r w:rsidR="002767A6">
        <w:rPr>
          <w:rFonts w:ascii="Lato" w:hAnsi="Lato" w:cs="Times New Roman"/>
        </w:rPr>
        <w:t xml:space="preserve"> (słownie: sto sześćdziesiąt dwa miliony złotych 00/100) ze środków RRF</w:t>
      </w:r>
      <w:r w:rsidRPr="00E4035F">
        <w:rPr>
          <w:rFonts w:ascii="Lato" w:hAnsi="Lato" w:cs="Times New Roman"/>
        </w:rPr>
        <w:t>.</w:t>
      </w:r>
      <w:r w:rsidRPr="00E4035F">
        <w:rPr>
          <w:rStyle w:val="Odwoanieprzypisudolnego"/>
          <w:rFonts w:ascii="Lato" w:hAnsi="Lato" w:cs="Times New Roman"/>
          <w:b/>
        </w:rPr>
        <w:footnoteReference w:id="2"/>
      </w:r>
    </w:p>
    <w:p w14:paraId="461EE2C2" w14:textId="77777777" w:rsidR="00160252" w:rsidRPr="00160252" w:rsidRDefault="009110E3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54F3033A" w14:textId="0C58CF8C" w:rsidR="009110E3" w:rsidRDefault="00B86E88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160252">
        <w:rPr>
          <w:rFonts w:ascii="Lato" w:hAnsi="Lato" w:cs="Times New Roman"/>
        </w:rPr>
        <w:t>Objęcie przedsięwzięcia wsparciem</w:t>
      </w:r>
      <w:r w:rsidR="005D4803" w:rsidRPr="00160252">
        <w:rPr>
          <w:rFonts w:ascii="Lato" w:hAnsi="Lato" w:cs="Times New Roman"/>
        </w:rPr>
        <w:t xml:space="preserve"> (wypłata stypendiów dla studentów)</w:t>
      </w:r>
      <w:r w:rsidRPr="00160252">
        <w:rPr>
          <w:rFonts w:ascii="Lato" w:hAnsi="Lato" w:cs="Times New Roman"/>
        </w:rPr>
        <w:t>, określone w niniejszym Regulaminie, stanowi wsparcie o którym mowa w art. 6 ust. 1 lit. a Rozporządzenia UE 2021/241</w:t>
      </w:r>
      <w:r w:rsidR="004C0058" w:rsidRPr="00160252">
        <w:rPr>
          <w:rFonts w:ascii="Lato" w:hAnsi="Lato" w:cs="Times New Roman"/>
        </w:rPr>
        <w:t>.</w:t>
      </w:r>
    </w:p>
    <w:p w14:paraId="169133D6" w14:textId="77777777" w:rsidR="00D36CC9" w:rsidRDefault="00D36CC9" w:rsidP="00D36CC9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0228325B" w14:textId="77777777" w:rsidR="003270E7" w:rsidRPr="00E4035F" w:rsidRDefault="003270E7" w:rsidP="003270E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5" w:name="_Toc215840743"/>
      <w:r w:rsidRPr="00E4035F">
        <w:rPr>
          <w:rFonts w:ascii="Lato" w:eastAsiaTheme="majorEastAsia" w:hAnsi="Lato" w:cs="Times New Roman"/>
          <w:b/>
        </w:rPr>
        <w:lastRenderedPageBreak/>
        <w:t>Terminy w ramach naboru</w:t>
      </w:r>
      <w:bookmarkEnd w:id="15"/>
    </w:p>
    <w:p w14:paraId="5B20918B" w14:textId="33B6EC61" w:rsidR="003270E7" w:rsidRPr="00DF52EC" w:rsidRDefault="003270E7" w:rsidP="003270E7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04628">
        <w:rPr>
          <w:rFonts w:ascii="Lato" w:hAnsi="Lato"/>
          <w:b/>
          <w:bCs/>
        </w:rPr>
        <w:t>6</w:t>
      </w:r>
      <w:r>
        <w:rPr>
          <w:rFonts w:ascii="Lato" w:hAnsi="Lato"/>
          <w:b/>
          <w:bCs/>
        </w:rPr>
        <w:t>.</w:t>
      </w:r>
    </w:p>
    <w:p w14:paraId="0B7C5C17" w14:textId="0C2AA958" w:rsidR="003270E7" w:rsidRPr="007D65AC" w:rsidRDefault="003270E7" w:rsidP="003270E7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wstępny należy złożyć w terminie </w:t>
      </w:r>
      <w:r w:rsidR="00B25662">
        <w:rPr>
          <w:rFonts w:ascii="Lato" w:hAnsi="Lato"/>
        </w:rPr>
        <w:t xml:space="preserve">od </w:t>
      </w:r>
      <w:r w:rsidR="000E5A14" w:rsidRPr="000E5A14">
        <w:rPr>
          <w:rFonts w:ascii="Lato" w:hAnsi="Lato"/>
          <w:b/>
          <w:bCs/>
        </w:rPr>
        <w:t>1.09.2025 r.</w:t>
      </w:r>
      <w:r w:rsidR="000E5A14">
        <w:rPr>
          <w:rFonts w:ascii="Lato" w:hAnsi="Lato"/>
        </w:rPr>
        <w:t xml:space="preserve"> </w:t>
      </w:r>
      <w:r w:rsidRPr="007D65AC">
        <w:rPr>
          <w:rFonts w:ascii="Lato" w:hAnsi="Lato"/>
        </w:rPr>
        <w:t>do</w:t>
      </w:r>
      <w:r w:rsidR="000E5A14">
        <w:rPr>
          <w:rFonts w:ascii="Lato" w:hAnsi="Lato"/>
        </w:rPr>
        <w:t xml:space="preserve"> </w:t>
      </w:r>
      <w:r w:rsidR="000E5A14" w:rsidRPr="000E5A14">
        <w:rPr>
          <w:rFonts w:ascii="Lato" w:hAnsi="Lato"/>
          <w:b/>
          <w:bCs/>
        </w:rPr>
        <w:t>15.09.2025 r.</w:t>
      </w:r>
    </w:p>
    <w:p w14:paraId="3CE599A0" w14:textId="2734C12B" w:rsidR="003270E7" w:rsidRPr="00634F9E" w:rsidRDefault="003270E7" w:rsidP="00F7436F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o objęcie przedsięwzięcia wsparciem należy złożyć w terminie od </w:t>
      </w:r>
      <w:r w:rsidR="00E27261">
        <w:rPr>
          <w:rFonts w:ascii="Lato" w:hAnsi="Lato"/>
          <w:b/>
          <w:bCs/>
        </w:rPr>
        <w:t>01</w:t>
      </w:r>
      <w:r w:rsidR="00056E9A">
        <w:rPr>
          <w:rFonts w:ascii="Lato" w:hAnsi="Lato"/>
          <w:b/>
          <w:bCs/>
        </w:rPr>
        <w:t>.1</w:t>
      </w:r>
      <w:r w:rsidR="00E27261">
        <w:rPr>
          <w:rFonts w:ascii="Lato" w:hAnsi="Lato"/>
          <w:b/>
          <w:bCs/>
        </w:rPr>
        <w:t>2</w:t>
      </w:r>
      <w:r w:rsidR="000E5A14" w:rsidRPr="000E5A14">
        <w:rPr>
          <w:rFonts w:ascii="Lato" w:hAnsi="Lato"/>
          <w:b/>
          <w:bCs/>
        </w:rPr>
        <w:t>.2025 r.</w:t>
      </w:r>
      <w:r w:rsidRPr="007D65AC">
        <w:rPr>
          <w:rFonts w:ascii="Lato" w:hAnsi="Lato"/>
        </w:rPr>
        <w:t xml:space="preserve"> do </w:t>
      </w:r>
      <w:r w:rsidR="00E27261">
        <w:rPr>
          <w:rFonts w:ascii="Lato" w:hAnsi="Lato"/>
          <w:b/>
          <w:bCs/>
        </w:rPr>
        <w:t>1</w:t>
      </w:r>
      <w:r w:rsidR="00FC10D4">
        <w:rPr>
          <w:rFonts w:ascii="Lato" w:hAnsi="Lato"/>
          <w:b/>
          <w:bCs/>
        </w:rPr>
        <w:t>7</w:t>
      </w:r>
      <w:r w:rsidR="00056E9A">
        <w:rPr>
          <w:rFonts w:ascii="Lato" w:hAnsi="Lato"/>
          <w:b/>
          <w:bCs/>
        </w:rPr>
        <w:t>.12</w:t>
      </w:r>
      <w:r w:rsidR="000E5A14" w:rsidRPr="000E5A14">
        <w:rPr>
          <w:rFonts w:ascii="Lato" w:hAnsi="Lato"/>
          <w:b/>
          <w:bCs/>
        </w:rPr>
        <w:t>.2025 r.</w:t>
      </w:r>
      <w:r w:rsidR="00B25662">
        <w:rPr>
          <w:rFonts w:ascii="Lato" w:hAnsi="Lato"/>
        </w:rPr>
        <w:t xml:space="preserve"> </w:t>
      </w:r>
      <w:r w:rsidR="00B25662" w:rsidRPr="00B25662">
        <w:rPr>
          <w:rFonts w:ascii="Lato" w:hAnsi="Lato"/>
        </w:rPr>
        <w:t>IOI może wydłużyć termin składania wniosków o objęcie przedsięwzięcia wsparciem.</w:t>
      </w:r>
      <w:r w:rsidR="00F7436F">
        <w:rPr>
          <w:rFonts w:ascii="Lato" w:hAnsi="Lato"/>
        </w:rPr>
        <w:t xml:space="preserve"> Informacja o wydłużeniu terminu składania ww. wniosków zostanie opublikowania na stronie Ministerstwa Zdrowia poświęconej KPO oraz na Portalu Funduszy Europejskich.</w:t>
      </w:r>
    </w:p>
    <w:p w14:paraId="4F435C9A" w14:textId="1EDECEC2" w:rsidR="003270E7" w:rsidRPr="00C00066" w:rsidRDefault="003270E7" w:rsidP="00C00066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Planowany termin rozstrzygnięcia naboru to </w:t>
      </w:r>
      <w:bookmarkStart w:id="16" w:name="_Hlk205899393"/>
      <w:r w:rsidR="000E5A14" w:rsidRPr="000E5A14">
        <w:rPr>
          <w:rFonts w:ascii="Lato" w:hAnsi="Lato"/>
          <w:b/>
          <w:bCs/>
          <w:sz w:val="22"/>
          <w:szCs w:val="22"/>
        </w:rPr>
        <w:t>IV kwartał 2025 r.</w:t>
      </w:r>
      <w:r w:rsidR="00056E9A">
        <w:rPr>
          <w:rFonts w:ascii="Lato" w:hAnsi="Lato"/>
          <w:b/>
          <w:bCs/>
          <w:sz w:val="22"/>
          <w:szCs w:val="22"/>
        </w:rPr>
        <w:t>/I kwartał 2026 r.</w:t>
      </w:r>
      <w:r w:rsidR="000E5A14">
        <w:rPr>
          <w:rFonts w:ascii="Lato" w:hAnsi="Lato"/>
          <w:sz w:val="22"/>
          <w:szCs w:val="22"/>
        </w:rPr>
        <w:t xml:space="preserve"> </w:t>
      </w:r>
      <w:bookmarkEnd w:id="16"/>
      <w:r w:rsidR="00C00066">
        <w:rPr>
          <w:rFonts w:ascii="Lato" w:hAnsi="Lato"/>
        </w:rPr>
        <w:t>Termin ten może uleć przesunięciu w przypadku wydłużenia terminu składania wniosków, o którym mowa w ust. 2.</w:t>
      </w:r>
    </w:p>
    <w:p w14:paraId="02EEA8E9" w14:textId="77777777" w:rsidR="0001251A" w:rsidRPr="00E4035F" w:rsidRDefault="0001251A" w:rsidP="000706E5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127872623"/>
      <w:bookmarkStart w:id="18" w:name="_Toc215840744"/>
      <w:r w:rsidRPr="00E4035F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  <w:bookmarkEnd w:id="18"/>
    </w:p>
    <w:p w14:paraId="4A8DD55C" w14:textId="4F870E35" w:rsidR="004F4C7E" w:rsidRPr="00D84BFC" w:rsidRDefault="00F03BBC" w:rsidP="00D84BFC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</w:t>
      </w:r>
      <w:r w:rsidRPr="00F03BBC"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7</w:t>
      </w:r>
      <w:r w:rsidRPr="00F03BBC">
        <w:rPr>
          <w:rFonts w:ascii="Lato" w:hAnsi="Lato" w:cs="Times New Roman"/>
          <w:b/>
          <w:bCs/>
        </w:rPr>
        <w:t>.</w:t>
      </w:r>
    </w:p>
    <w:p w14:paraId="3E3F199E" w14:textId="723244FF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4C0058">
        <w:rPr>
          <w:rFonts w:ascii="Lato" w:hAnsi="Lato" w:cs="Times New Roman"/>
        </w:rPr>
        <w:t xml:space="preserve">(koszt bezpośredni)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>, o którym mowa w</w:t>
      </w:r>
      <w:r w:rsidR="0068512F">
        <w:rPr>
          <w:rFonts w:ascii="Lato" w:hAnsi="Lato" w:cs="Times New Roman"/>
        </w:rPr>
        <w:t xml:space="preserve"> </w:t>
      </w:r>
      <w:bookmarkStart w:id="19" w:name="_Hlk154148495"/>
      <w:r w:rsidR="0068512F" w:rsidRPr="0068512F">
        <w:rPr>
          <w:rFonts w:ascii="Lato" w:hAnsi="Lato" w:cs="Times New Roman"/>
        </w:rPr>
        <w:t>§</w:t>
      </w:r>
      <w:bookmarkEnd w:id="19"/>
      <w:r w:rsidRPr="00E4035F">
        <w:rPr>
          <w:rFonts w:ascii="Lato" w:hAnsi="Lato" w:cs="Times New Roman"/>
        </w:rPr>
        <w:t xml:space="preserve"> </w:t>
      </w:r>
      <w:r w:rsidR="00F32BBB">
        <w:rPr>
          <w:rFonts w:ascii="Lato" w:hAnsi="Lato" w:cs="Times New Roman"/>
        </w:rPr>
        <w:t xml:space="preserve">3 oraz </w:t>
      </w:r>
      <w:r w:rsidR="00BF11A2" w:rsidRPr="00BF11A2">
        <w:rPr>
          <w:rFonts w:ascii="Lato" w:hAnsi="Lato" w:cs="Times New Roman"/>
        </w:rPr>
        <w:t>§</w:t>
      </w:r>
      <w:r w:rsidR="00BF11A2">
        <w:rPr>
          <w:rFonts w:ascii="Lato" w:hAnsi="Lato" w:cs="Times New Roman"/>
        </w:rPr>
        <w:t xml:space="preserve"> </w:t>
      </w:r>
      <w:r w:rsidR="006B4A98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ust. </w:t>
      </w:r>
      <w:r w:rsidRPr="00E4035F">
        <w:rPr>
          <w:rFonts w:ascii="Lato" w:hAnsi="Lato" w:cs="Times New Roman"/>
        </w:rPr>
        <w:fldChar w:fldCharType="begin"/>
      </w:r>
      <w:r w:rsidRPr="00E4035F">
        <w:rPr>
          <w:rFonts w:ascii="Lato" w:hAnsi="Lato" w:cs="Times New Roman"/>
        </w:rPr>
        <w:instrText xml:space="preserve"> REF _Ref518553006 \n \h  \* MERGEFORMAT </w:instrText>
      </w:r>
      <w:r w:rsidRPr="00E4035F">
        <w:rPr>
          <w:rFonts w:ascii="Lato" w:hAnsi="Lato" w:cs="Times New Roman"/>
        </w:rPr>
      </w:r>
      <w:r w:rsidRPr="00E4035F">
        <w:rPr>
          <w:rFonts w:ascii="Lato" w:hAnsi="Lato" w:cs="Times New Roman"/>
        </w:rPr>
        <w:fldChar w:fldCharType="separate"/>
      </w:r>
      <w:r w:rsidRPr="00E4035F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fldChar w:fldCharType="end"/>
      </w:r>
      <w:r w:rsidR="00C2463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może być wydatek </w:t>
      </w:r>
      <w:r w:rsidRPr="00E4035F">
        <w:rPr>
          <w:rFonts w:ascii="Lato" w:hAnsi="Lato" w:cs="Times New Roman"/>
          <w:bCs/>
        </w:rPr>
        <w:t>spełniający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AFFA783" w14:textId="77777777" w:rsidR="00C00066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jest zgodny z obowiązującymi przepisami prawa unijnego oraz prawa krajowego, w tym przepisami regulującymi udzielanie pomocy publicznej, jeśli mają zastosowanie,</w:t>
      </w:r>
    </w:p>
    <w:p w14:paraId="7CD53F51" w14:textId="53F06BFB" w:rsidR="004F4C7E" w:rsidRPr="00E4035F" w:rsidRDefault="00C00066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BE368F">
        <w:rPr>
          <w:rFonts w:ascii="Lato" w:hAnsi="Lato" w:cs="Times New Roman"/>
        </w:rPr>
        <w:t xml:space="preserve">jest zgodny z decyzją wykonawczą Rady UE z dnia 17 czerwca 2022 r. w sprawie zatwierdzenia oceny planu odbudowy i zwiększania odporności Polski (COM(2022)268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4C0058">
        <w:rPr>
          <w:rFonts w:ascii="Lato" w:hAnsi="Lato" w:cs="Times New Roman"/>
        </w:rPr>
        <w:t xml:space="preserve">, </w:t>
      </w:r>
      <w:r w:rsidR="004C0058" w:rsidRPr="004C0058">
        <w:rPr>
          <w:rFonts w:ascii="Lato" w:hAnsi="Lato" w:cs="Times New Roman"/>
        </w:rPr>
        <w:t xml:space="preserve">decyzją (COM(2024) 284 </w:t>
      </w:r>
      <w:proofErr w:type="spellStart"/>
      <w:r w:rsidR="004C0058" w:rsidRPr="004C0058">
        <w:rPr>
          <w:rFonts w:ascii="Lato" w:hAnsi="Lato" w:cs="Times New Roman"/>
        </w:rPr>
        <w:t>final</w:t>
      </w:r>
      <w:proofErr w:type="spellEnd"/>
      <w:r w:rsidR="004C0058" w:rsidRPr="004C0058">
        <w:rPr>
          <w:rFonts w:ascii="Lato" w:hAnsi="Lato" w:cs="Times New Roman"/>
        </w:rPr>
        <w:t xml:space="preserve">) przyjętą w dniu 16 lipca 2024 r. oraz decyzją 9590/25 przyjętą w dniu 20 czerwca 2025 r.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</w:p>
    <w:p w14:paraId="1F6D82A3" w14:textId="14F1634E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</w:t>
      </w:r>
      <w:r w:rsidR="004C0058">
        <w:rPr>
          <w:rFonts w:ascii="Lato" w:hAnsi="Lato" w:cs="Times New Roman"/>
        </w:rPr>
        <w:t>o-finansowym</w:t>
      </w:r>
      <w:r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5511ADE8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3D73AF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0250E4CC" w14:textId="77777777" w:rsidR="00F32BBB" w:rsidRDefault="00D91C0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z</w:t>
      </w:r>
      <w:r w:rsidR="001C1427" w:rsidRPr="00E4035F">
        <w:rPr>
          <w:rFonts w:ascii="Lato" w:hAnsi="Lato" w:cs="Times New Roman"/>
        </w:rPr>
        <w:t xml:space="preserve">ostał wypłacony jako stypendium dla studentów kierunków medycznych określonych w </w:t>
      </w:r>
      <w:r w:rsidR="00FF3499" w:rsidRPr="00E4035F">
        <w:rPr>
          <w:rFonts w:ascii="Lato" w:hAnsi="Lato" w:cs="Times New Roman"/>
        </w:rPr>
        <w:t>D</w:t>
      </w:r>
      <w:r w:rsidR="001C1427" w:rsidRPr="00E4035F">
        <w:rPr>
          <w:rFonts w:ascii="Lato" w:hAnsi="Lato" w:cs="Times New Roman"/>
        </w:rPr>
        <w:t>ziałaniu 1 Systemu zachęt</w:t>
      </w:r>
      <w:r w:rsidR="00F32BBB">
        <w:rPr>
          <w:rFonts w:ascii="Lato" w:hAnsi="Lato" w:cs="Times New Roman"/>
        </w:rPr>
        <w:t>,</w:t>
      </w:r>
    </w:p>
    <w:p w14:paraId="7DA52ECA" w14:textId="0FA65939" w:rsidR="004F4C7E" w:rsidRDefault="00F32BBB" w:rsidP="0002414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="0002414E" w:rsidRPr="00C83CBC">
        <w:rPr>
          <w:rFonts w:ascii="Lato" w:hAnsi="Lato" w:cs="Times New Roman"/>
        </w:rPr>
        <w:t xml:space="preserve">w ramach środków </w:t>
      </w:r>
      <w:r w:rsidR="002B29E2">
        <w:rPr>
          <w:rFonts w:ascii="Lato" w:hAnsi="Lato" w:cs="Times New Roman"/>
        </w:rPr>
        <w:t>P</w:t>
      </w:r>
      <w:r w:rsidR="0002414E" w:rsidRPr="00C83CBC">
        <w:rPr>
          <w:rFonts w:ascii="Lato" w:hAnsi="Lato" w:cs="Times New Roman"/>
        </w:rPr>
        <w:t>lanu rozwojowego lub innych unijnych programów, instrumentów, funduszy w ramach budżetu Unii Europejskiej</w:t>
      </w:r>
      <w:r w:rsidR="004C0058">
        <w:rPr>
          <w:rFonts w:ascii="Lato" w:hAnsi="Lato" w:cs="Times New Roman"/>
        </w:rPr>
        <w:t>,</w:t>
      </w:r>
    </w:p>
    <w:p w14:paraId="2A976FB1" w14:textId="74C11FE9" w:rsidR="004C0058" w:rsidRPr="004C0058" w:rsidRDefault="004C0058" w:rsidP="004C0058">
      <w:pPr>
        <w:pStyle w:val="Akapitzlist"/>
        <w:numPr>
          <w:ilvl w:val="2"/>
          <w:numId w:val="56"/>
        </w:numPr>
        <w:rPr>
          <w:rFonts w:ascii="Lato" w:hAnsi="Lato" w:cs="Times New Roman"/>
        </w:rPr>
      </w:pPr>
      <w:r w:rsidRPr="004C0058">
        <w:rPr>
          <w:rFonts w:ascii="Lato" w:hAnsi="Lato" w:cs="Times New Roman"/>
        </w:rPr>
        <w:t>nie został sfinansowany z innych środków publicznych.</w:t>
      </w:r>
    </w:p>
    <w:p w14:paraId="74DC1D5B" w14:textId="11A2D71F" w:rsidR="004C0058" w:rsidRPr="004C0058" w:rsidRDefault="004C0058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4C0058">
        <w:rPr>
          <w:rFonts w:ascii="Lato" w:hAnsi="Lato" w:cs="Times New Roman"/>
        </w:rPr>
        <w:t xml:space="preserve">Wydatkami kwalifikowanymi są również koszty pośrednie (koszty, których nie można bezpośrednio przypisać w związku z realizowanym przedsięwzięciem), niezbędne do realizacji przedsięwzięcia, rozliczane z wykorzystaniem stawki ryczałtowej </w:t>
      </w:r>
      <w:r w:rsidRPr="00160252">
        <w:rPr>
          <w:rFonts w:ascii="Lato" w:hAnsi="Lato" w:cs="Times New Roman"/>
          <w:b/>
          <w:bCs/>
        </w:rPr>
        <w:t>wynoszącej 5% kwoty wydatków kwalifikowalnych</w:t>
      </w:r>
      <w:r>
        <w:rPr>
          <w:rFonts w:ascii="Lato" w:hAnsi="Lato" w:cs="Times New Roman"/>
        </w:rPr>
        <w:t>,</w:t>
      </w:r>
      <w:r w:rsidRPr="004C0058">
        <w:rPr>
          <w:rFonts w:ascii="Lato" w:hAnsi="Lato" w:cs="Times New Roman"/>
        </w:rPr>
        <w:t xml:space="preserve"> stanowiących koszty bezpośrednie. Ryczałt wyliczany jest od faktycznie poniesionych kosztów bezpośrednich. Katalog kosztów pośrednich określa załącznik nr 1</w:t>
      </w:r>
      <w:r w:rsidR="004956C7">
        <w:rPr>
          <w:rFonts w:ascii="Lato" w:hAnsi="Lato" w:cs="Times New Roman"/>
        </w:rPr>
        <w:t>0</w:t>
      </w:r>
      <w:r w:rsidRPr="004C0058">
        <w:rPr>
          <w:rFonts w:ascii="Lato" w:hAnsi="Lato" w:cs="Times New Roman"/>
        </w:rPr>
        <w:t xml:space="preserve"> do Umowy o objęcie przedsięwzięcia wparciem</w:t>
      </w:r>
      <w:r>
        <w:rPr>
          <w:rFonts w:ascii="Lato" w:hAnsi="Lato" w:cs="Times New Roman"/>
        </w:rPr>
        <w:t>.</w:t>
      </w:r>
    </w:p>
    <w:p w14:paraId="4500F298" w14:textId="2FF21353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1 </w:t>
      </w:r>
      <w:r w:rsidR="00F7250C" w:rsidRPr="00E4035F">
        <w:rPr>
          <w:rFonts w:ascii="Lato" w:hAnsi="Lato" w:cs="Times New Roman"/>
          <w:b/>
          <w:bCs/>
        </w:rPr>
        <w:t>października</w:t>
      </w:r>
      <w:r w:rsidRPr="00E4035F">
        <w:rPr>
          <w:rFonts w:ascii="Lato" w:hAnsi="Lato" w:cs="Times New Roman"/>
          <w:b/>
          <w:bCs/>
        </w:rPr>
        <w:t xml:space="preserve"> </w:t>
      </w:r>
      <w:r w:rsidR="007B2426" w:rsidRPr="00E4035F">
        <w:rPr>
          <w:rFonts w:ascii="Lato" w:hAnsi="Lato" w:cs="Times New Roman"/>
          <w:b/>
          <w:bCs/>
        </w:rPr>
        <w:t>202</w:t>
      </w:r>
      <w:r w:rsidR="007B2426">
        <w:rPr>
          <w:rFonts w:ascii="Lato" w:hAnsi="Lato" w:cs="Times New Roman"/>
          <w:b/>
          <w:bCs/>
        </w:rPr>
        <w:t>3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Końcową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30 </w:t>
      </w:r>
      <w:r w:rsidR="007B2426">
        <w:rPr>
          <w:rFonts w:ascii="Lato" w:hAnsi="Lato" w:cs="Times New Roman"/>
          <w:b/>
          <w:bCs/>
        </w:rPr>
        <w:t>czerwca</w:t>
      </w:r>
      <w:r w:rsidR="007B2426" w:rsidRPr="00E4035F">
        <w:rPr>
          <w:rFonts w:ascii="Lato" w:hAnsi="Lato" w:cs="Times New Roman"/>
          <w:b/>
          <w:bCs/>
        </w:rPr>
        <w:t xml:space="preserve"> 202</w:t>
      </w:r>
      <w:r w:rsidR="007B2426">
        <w:rPr>
          <w:rFonts w:ascii="Lato" w:hAnsi="Lato" w:cs="Times New Roman"/>
          <w:b/>
          <w:bCs/>
        </w:rPr>
        <w:t>6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14442C35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</w:t>
      </w:r>
      <w:r w:rsidR="00117BD5">
        <w:rPr>
          <w:rFonts w:ascii="Lato" w:hAnsi="Lato" w:cs="Times New Roman"/>
        </w:rPr>
        <w:t>mi</w:t>
      </w:r>
      <w:r w:rsidRPr="00E4035F">
        <w:rPr>
          <w:rFonts w:ascii="Lato" w:hAnsi="Lato" w:cs="Times New Roman"/>
        </w:rPr>
        <w:t xml:space="preserve">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="007B2426">
        <w:rPr>
          <w:rFonts w:ascii="Lato" w:hAnsi="Lato" w:cs="Times New Roman"/>
        </w:rPr>
        <w:t>nie</w:t>
      </w:r>
      <w:r w:rsidRPr="00E4035F">
        <w:rPr>
          <w:rFonts w:ascii="Lato" w:hAnsi="Lato" w:cs="Times New Roman"/>
        </w:rPr>
        <w:t>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66F6BD53" w:rsidR="00834543" w:rsidRPr="00E4035F" w:rsidRDefault="00F94625" w:rsidP="00834543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 </w:t>
      </w:r>
      <w:r w:rsidR="00C00066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08B44861" w14:textId="7F92D999" w:rsidR="00117BD5" w:rsidRDefault="009D23B5" w:rsidP="00117BD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853B49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lanu rozwojowego w ramach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rzedsięwzięcia.</w:t>
      </w:r>
      <w:r w:rsidR="00ED73A5">
        <w:rPr>
          <w:rFonts w:ascii="Lato" w:hAnsi="Lato" w:cs="Times New Roman"/>
        </w:rPr>
        <w:t xml:space="preserve"> </w:t>
      </w:r>
      <w:bookmarkStart w:id="20" w:name="_Hlk168045389"/>
      <w:r w:rsidR="00ED73A5" w:rsidRPr="00ED73A5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bookmarkEnd w:id="20"/>
      <w:r w:rsidR="00ED73A5">
        <w:rPr>
          <w:rFonts w:ascii="Lato" w:hAnsi="Lato" w:cs="Times New Roman"/>
        </w:rPr>
        <w:t>.</w:t>
      </w:r>
    </w:p>
    <w:p w14:paraId="30E00235" w14:textId="77777777" w:rsidR="001960A6" w:rsidRPr="00DB40B7" w:rsidRDefault="001960A6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3DAA0281" w14:textId="77777777" w:rsidR="007B2426" w:rsidRPr="00E4035F" w:rsidRDefault="007B2426" w:rsidP="007B242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1584074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1"/>
    </w:p>
    <w:p w14:paraId="3E2EE8B4" w14:textId="09117E90" w:rsidR="007B2426" w:rsidRPr="00E4035F" w:rsidRDefault="007B2426" w:rsidP="007B2426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8</w:t>
      </w:r>
      <w:r w:rsidRPr="00F03BBC">
        <w:rPr>
          <w:rFonts w:ascii="Lato" w:hAnsi="Lato" w:cs="Times New Roman"/>
          <w:b/>
          <w:bCs/>
        </w:rPr>
        <w:t>.</w:t>
      </w:r>
    </w:p>
    <w:p w14:paraId="28A21310" w14:textId="48602556" w:rsidR="007B2426" w:rsidRPr="00E4035F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określonych w § </w:t>
      </w:r>
      <w:r w:rsidR="00983BF4">
        <w:rPr>
          <w:rFonts w:ascii="Lato" w:hAnsi="Lato" w:cs="Times New Roman"/>
        </w:rPr>
        <w:t>7</w:t>
      </w:r>
      <w:r w:rsidRPr="00E4035F">
        <w:rPr>
          <w:rFonts w:ascii="Lato" w:hAnsi="Lato" w:cs="Times New Roman"/>
        </w:rPr>
        <w:t xml:space="preserve"> ust. </w:t>
      </w:r>
      <w:r w:rsidR="00ED73A5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. </w:t>
      </w:r>
    </w:p>
    <w:p w14:paraId="6CC22633" w14:textId="77777777" w:rsidR="007B2426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Wszelkie działania oraz koszty w ramach realizacji przedsięwzięcia, realizowane poza datami wskazanymi w zawartej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mowie zostaną uznane za niekwalifikowalne.</w:t>
      </w:r>
    </w:p>
    <w:p w14:paraId="0B02A2EF" w14:textId="77777777" w:rsidR="00117BD5" w:rsidRPr="00DB40B7" w:rsidRDefault="00117BD5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4A30616E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15840746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3D168816" w14:textId="280D7336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246F86A4" w14:textId="411EADCE" w:rsidR="007F2451" w:rsidRDefault="007F2451" w:rsidP="007F2451">
      <w:pPr>
        <w:pStyle w:val="Akapitzlist"/>
        <w:numPr>
          <w:ilvl w:val="0"/>
          <w:numId w:val="23"/>
        </w:numPr>
        <w:spacing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Wnios</w:t>
      </w:r>
      <w:r w:rsidR="00DD2AFE">
        <w:rPr>
          <w:rFonts w:ascii="Lato" w:hAnsi="Lato" w:cs="Times New Roman"/>
        </w:rPr>
        <w:t>ek</w:t>
      </w:r>
      <w:r w:rsidRPr="00E4035F">
        <w:rPr>
          <w:rFonts w:ascii="Lato" w:hAnsi="Lato" w:cs="Times New Roman"/>
        </w:rPr>
        <w:t xml:space="preserve"> wstępn</w:t>
      </w:r>
      <w:r w:rsidR="00DD2AFE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oraz</w:t>
      </w:r>
      <w:r w:rsidRPr="00E4035F">
        <w:rPr>
          <w:rFonts w:ascii="Lato" w:hAnsi="Lato" w:cs="Times New Roman"/>
          <w:b/>
          <w:bCs/>
        </w:rPr>
        <w:t xml:space="preserve"> </w:t>
      </w:r>
      <w:r w:rsidR="00C00066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</w:t>
      </w:r>
      <w:r w:rsidR="00DD2AFE"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k o objęcie przedsięwzięcia wsparciem, o których mowa w § </w:t>
      </w:r>
      <w:r w:rsidRPr="004E78BE">
        <w:rPr>
          <w:rFonts w:ascii="Lato" w:hAnsi="Lato" w:cs="Times New Roman"/>
        </w:rPr>
        <w:t>1</w:t>
      </w:r>
      <w:r w:rsidR="004E78BE" w:rsidRPr="00DB40B7">
        <w:rPr>
          <w:rFonts w:ascii="Lato" w:hAnsi="Lato" w:cs="Times New Roman"/>
        </w:rPr>
        <w:t>2</w:t>
      </w:r>
      <w:r w:rsidRPr="004E78BE">
        <w:rPr>
          <w:rFonts w:ascii="Lato" w:hAnsi="Lato" w:cs="Times New Roman"/>
        </w:rPr>
        <w:t xml:space="preserve"> oraz § 1</w:t>
      </w:r>
      <w:r w:rsidR="004E78BE" w:rsidRPr="00DB40B7">
        <w:rPr>
          <w:rFonts w:ascii="Lato" w:hAnsi="Lato" w:cs="Times New Roman"/>
        </w:rPr>
        <w:t>3</w:t>
      </w:r>
      <w:r w:rsidR="00DD2AFE">
        <w:rPr>
          <w:rFonts w:ascii="Lato" w:hAnsi="Lato" w:cs="Times New Roman"/>
        </w:rPr>
        <w:t xml:space="preserve"> Regulaminu</w:t>
      </w:r>
      <w:r w:rsidR="00B65018">
        <w:rPr>
          <w:rFonts w:ascii="Lato" w:hAnsi="Lato" w:cs="Times New Roman"/>
        </w:rPr>
        <w:t xml:space="preserve"> wyboru</w:t>
      </w:r>
      <w:r w:rsidRPr="004E78BE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</w:t>
      </w:r>
      <w:r w:rsidR="00B65018">
        <w:rPr>
          <w:rFonts w:ascii="Lato" w:hAnsi="Lato" w:cs="Times New Roman"/>
        </w:rPr>
        <w:t>że złożyć</w:t>
      </w:r>
      <w:r w:rsidRPr="00E4035F">
        <w:rPr>
          <w:rFonts w:ascii="Lato" w:hAnsi="Lato" w:cs="Times New Roman"/>
        </w:rPr>
        <w:t xml:space="preserve"> uczelni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</w:t>
      </w:r>
      <w:r w:rsidR="00F32BBB" w:rsidRPr="00925B2C">
        <w:rPr>
          <w:rFonts w:ascii="Lato" w:hAnsi="Lato" w:cs="Times New Roman"/>
          <w:b/>
          <w:bCs/>
        </w:rPr>
        <w:t>publiczn</w:t>
      </w:r>
      <w:r w:rsidR="00B65018">
        <w:rPr>
          <w:rFonts w:ascii="Lato" w:hAnsi="Lato" w:cs="Times New Roman"/>
          <w:b/>
          <w:bCs/>
        </w:rPr>
        <w:t>a</w:t>
      </w:r>
      <w:r w:rsidR="00F32BBB" w:rsidRPr="00925B2C">
        <w:rPr>
          <w:rFonts w:ascii="Lato" w:hAnsi="Lato" w:cs="Times New Roman"/>
          <w:b/>
          <w:bCs/>
        </w:rPr>
        <w:t xml:space="preserve"> lub niepubliczn</w:t>
      </w:r>
      <w:r w:rsidR="00B65018">
        <w:rPr>
          <w:rFonts w:ascii="Lato" w:hAnsi="Lato" w:cs="Times New Roman"/>
          <w:b/>
          <w:bCs/>
        </w:rPr>
        <w:t>a</w:t>
      </w:r>
      <w:r w:rsidR="00F32BB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spełniając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poniższe warunki określone w Działaniu 1 Systemu zachęt.</w:t>
      </w:r>
    </w:p>
    <w:p w14:paraId="658D0277" w14:textId="77777777" w:rsidR="007F2451" w:rsidRPr="00356BCF" w:rsidRDefault="007F2451" w:rsidP="007F2451">
      <w:pPr>
        <w:pStyle w:val="Akapitzlist"/>
        <w:spacing w:after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A4749B" w14:textId="77777777" w:rsidR="007F2451" w:rsidRPr="00C2463F" w:rsidRDefault="007F2451" w:rsidP="007F2451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B15C88">
        <w:rPr>
          <w:rFonts w:ascii="Lato" w:hAnsi="Lato" w:cs="Times New Roman"/>
        </w:rPr>
        <w:t>Stypendium będzie przyznawane określonemu procentowi najlepszych studentów w każdej uczelni, która</w:t>
      </w:r>
    </w:p>
    <w:p w14:paraId="591A554B" w14:textId="61C29415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zrekrutowała na </w:t>
      </w:r>
      <w:r>
        <w:rPr>
          <w:rFonts w:ascii="Lato" w:hAnsi="Lato" w:cs="Times New Roman"/>
        </w:rPr>
        <w:t xml:space="preserve">semestr zimowy w </w:t>
      </w:r>
      <w:r w:rsidRPr="00E4035F">
        <w:rPr>
          <w:rFonts w:ascii="Lato" w:hAnsi="Lato" w:cs="Times New Roman"/>
        </w:rPr>
        <w:t>rok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akademicki</w:t>
      </w:r>
      <w:r>
        <w:rPr>
          <w:rFonts w:ascii="Lato" w:hAnsi="Lato" w:cs="Times New Roman"/>
        </w:rPr>
        <w:t>m</w:t>
      </w:r>
      <w:r w:rsidRPr="00E4035F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na kierunk</w:t>
      </w:r>
      <w:r>
        <w:rPr>
          <w:rFonts w:ascii="Lato" w:hAnsi="Lato" w:cs="Times New Roman"/>
        </w:rPr>
        <w:t>ach</w:t>
      </w:r>
      <w:r w:rsidRPr="00E4035F">
        <w:rPr>
          <w:rFonts w:ascii="Lato" w:hAnsi="Lato" w:cs="Times New Roman"/>
        </w:rPr>
        <w:t xml:space="preserve"> studiów </w:t>
      </w:r>
      <w:r w:rsidRPr="007D65AC">
        <w:rPr>
          <w:rFonts w:ascii="Lato" w:hAnsi="Lato" w:cs="Times New Roman"/>
        </w:rPr>
        <w:t>określonych 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 łącznie</w:t>
      </w:r>
      <w:r w:rsidRPr="00E4035F">
        <w:rPr>
          <w:rFonts w:ascii="Lato" w:hAnsi="Lato" w:cs="Times New Roman"/>
        </w:rPr>
        <w:t xml:space="preserve"> co najmniej 60 osób – Polaków oraz cudzoziemców, o których mowa w art. 324 ust. 2 ustawy – Prawo o szkolnictwie wyższym i nauce,</w:t>
      </w:r>
    </w:p>
    <w:p w14:paraId="6247092B" w14:textId="39F9BC6B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r.  kształciła co najmniej 200 studentów łącznie na kierunkach </w:t>
      </w:r>
      <w:r>
        <w:rPr>
          <w:rFonts w:ascii="Lato" w:hAnsi="Lato" w:cs="Times New Roman"/>
        </w:rPr>
        <w:t xml:space="preserve">studiów określonych </w:t>
      </w:r>
      <w:r w:rsidRPr="007D65AC">
        <w:rPr>
          <w:rFonts w:ascii="Lato" w:hAnsi="Lato" w:cs="Times New Roman"/>
        </w:rPr>
        <w:t>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na studiach stacjonarnych – Polaków oraz cudzoziemców, o których mowa w art. 324 ust. 2 ustawy – Prawo o szkolnictwie wyższym i nauce,</w:t>
      </w:r>
    </w:p>
    <w:p w14:paraId="5A37982D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nie jest postawiona w stan likwidacji,</w:t>
      </w:r>
    </w:p>
    <w:p w14:paraId="21D5E338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1C4774D2" w14:textId="1D30F991" w:rsidR="004F75B9" w:rsidRDefault="007F2451" w:rsidP="007F2451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Uczelnia uchwali regulamin stypendiów, dostosowany do zapisów </w:t>
      </w:r>
      <w:r w:rsidR="004956C7">
        <w:rPr>
          <w:rFonts w:ascii="Lato" w:hAnsi="Lato" w:cs="Times New Roman"/>
        </w:rPr>
        <w:t xml:space="preserve">Systemu zachęt </w:t>
      </w:r>
      <w:r w:rsidRPr="001D7ED9">
        <w:rPr>
          <w:rFonts w:ascii="Lato" w:hAnsi="Lato" w:cs="Times New Roman"/>
        </w:rPr>
        <w:t xml:space="preserve">w którym określone będą m.in. </w:t>
      </w:r>
    </w:p>
    <w:p w14:paraId="10929533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wyłaniania stypendystów z uwzględnieniem listy rankingowej przyjęć na studia, w szczególności mając na uwadze wyniki osiągnięte przez studentów z egzaminów maturalnych, punktację osiągniętą w procesie rekrutacji</w:t>
      </w:r>
      <w:r w:rsidR="00771D89">
        <w:rPr>
          <w:rFonts w:ascii="Lato" w:hAnsi="Lato" w:cs="Times New Roman"/>
        </w:rPr>
        <w:t xml:space="preserve"> </w:t>
      </w:r>
      <w:r w:rsidR="00771D89" w:rsidRPr="00771D89">
        <w:rPr>
          <w:rFonts w:ascii="Lato" w:hAnsi="Lato" w:cs="Times New Roman"/>
          <w:b/>
          <w:bCs/>
        </w:rPr>
        <w:t>w połączeniu z wymagan</w:t>
      </w:r>
      <w:r w:rsidR="00771D89">
        <w:rPr>
          <w:rFonts w:ascii="Lato" w:hAnsi="Lato" w:cs="Times New Roman"/>
          <w:b/>
          <w:bCs/>
        </w:rPr>
        <w:t>ą</w:t>
      </w:r>
      <w:r w:rsidR="00771D89" w:rsidRPr="00771D89">
        <w:rPr>
          <w:rFonts w:ascii="Lato" w:hAnsi="Lato" w:cs="Times New Roman"/>
          <w:b/>
          <w:bCs/>
        </w:rPr>
        <w:t xml:space="preserve"> średnią minimum 4.0 na I </w:t>
      </w:r>
      <w:proofErr w:type="spellStart"/>
      <w:r w:rsidR="00771D89" w:rsidRPr="00771D89">
        <w:rPr>
          <w:rFonts w:ascii="Lato" w:hAnsi="Lato" w:cs="Times New Roman"/>
          <w:b/>
          <w:bCs/>
        </w:rPr>
        <w:t>i</w:t>
      </w:r>
      <w:proofErr w:type="spellEnd"/>
      <w:r w:rsidR="00771D89" w:rsidRPr="00771D89">
        <w:rPr>
          <w:rFonts w:ascii="Lato" w:hAnsi="Lato" w:cs="Times New Roman"/>
          <w:b/>
          <w:bCs/>
        </w:rPr>
        <w:t xml:space="preserve"> II roku studiów</w:t>
      </w:r>
      <w:r w:rsidRPr="001D7ED9">
        <w:rPr>
          <w:rFonts w:ascii="Lato" w:hAnsi="Lato" w:cs="Times New Roman"/>
        </w:rPr>
        <w:t xml:space="preserve">, </w:t>
      </w:r>
    </w:p>
    <w:p w14:paraId="44A57473" w14:textId="62471521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przyznawania stypendiów na kolejnych</w:t>
      </w:r>
      <w:r>
        <w:rPr>
          <w:rFonts w:ascii="Lato" w:hAnsi="Lato" w:cs="Times New Roman"/>
        </w:rPr>
        <w:t xml:space="preserve"> l</w:t>
      </w:r>
      <w:r w:rsidRPr="001D7ED9">
        <w:rPr>
          <w:rFonts w:ascii="Lato" w:hAnsi="Lato" w:cs="Times New Roman"/>
        </w:rPr>
        <w:t>atach</w:t>
      </w:r>
      <w:r w:rsidR="002E249B">
        <w:rPr>
          <w:rStyle w:val="Odwoanieprzypisudolnego"/>
          <w:rFonts w:ascii="Lato" w:hAnsi="Lato" w:cs="Times New Roman"/>
        </w:rPr>
        <w:footnoteReference w:id="3"/>
      </w:r>
      <w:r w:rsidRPr="001D7ED9">
        <w:rPr>
          <w:rFonts w:ascii="Lato" w:hAnsi="Lato" w:cs="Times New Roman"/>
        </w:rPr>
        <w:t xml:space="preserve"> oraz </w:t>
      </w:r>
    </w:p>
    <w:p w14:paraId="10B5C5F6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procedurę odwoławczą związaną z wyborem studentów do objęcia wsparciem. </w:t>
      </w:r>
    </w:p>
    <w:p w14:paraId="2CFB2F5A" w14:textId="5D391277" w:rsidR="003B04A8" w:rsidRDefault="007F2451" w:rsidP="00D36CC9">
      <w:pPr>
        <w:spacing w:before="120"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lastRenderedPageBreak/>
        <w:t>Powyższy regulamin Uczelnia przekaże do</w:t>
      </w:r>
      <w:r w:rsidR="00F32BBB" w:rsidRPr="004F75B9">
        <w:rPr>
          <w:rFonts w:ascii="Lato" w:hAnsi="Lato" w:cs="Times New Roman"/>
        </w:rPr>
        <w:t xml:space="preserve"> IOI </w:t>
      </w:r>
      <w:r w:rsidRPr="004F75B9">
        <w:rPr>
          <w:rFonts w:ascii="Lato" w:hAnsi="Lato" w:cs="Times New Roman"/>
        </w:rPr>
        <w:t xml:space="preserve"> razem z wnioskiem o objęcie </w:t>
      </w:r>
      <w:r w:rsidR="00C00066" w:rsidRPr="004F75B9">
        <w:rPr>
          <w:rFonts w:ascii="Lato" w:hAnsi="Lato" w:cs="Times New Roman"/>
        </w:rPr>
        <w:t xml:space="preserve">przedsięwzięcia </w:t>
      </w:r>
      <w:r w:rsidRPr="004F75B9">
        <w:rPr>
          <w:rFonts w:ascii="Lato" w:hAnsi="Lato" w:cs="Times New Roman"/>
        </w:rPr>
        <w:t>wsparciem, celem zaopiniowania pod kątem zgodności z realizacją przedsięwzięcia w ramach KPO.</w:t>
      </w:r>
      <w:r w:rsidR="00C11ABE" w:rsidRPr="004F75B9">
        <w:rPr>
          <w:rFonts w:ascii="Lato" w:hAnsi="Lato" w:cs="Times New Roman"/>
        </w:rPr>
        <w:t xml:space="preserve"> </w:t>
      </w:r>
      <w:bookmarkStart w:id="23" w:name="_Hlk205980437"/>
      <w:r w:rsidR="00C2313C">
        <w:rPr>
          <w:rFonts w:ascii="Lato" w:hAnsi="Lato" w:cs="Times New Roman"/>
        </w:rPr>
        <w:t xml:space="preserve">Każda późniejsza zmiana regulaminu wymaga zgłoszenia </w:t>
      </w:r>
      <w:r w:rsidR="00074CB5">
        <w:rPr>
          <w:rFonts w:ascii="Lato" w:hAnsi="Lato" w:cs="Times New Roman"/>
        </w:rPr>
        <w:t>do IOI.</w:t>
      </w:r>
    </w:p>
    <w:p w14:paraId="2625E319" w14:textId="77777777" w:rsidR="009E3473" w:rsidRPr="00A759C1" w:rsidRDefault="009E3473" w:rsidP="00A759C1">
      <w:pPr>
        <w:spacing w:before="120" w:line="276" w:lineRule="auto"/>
        <w:ind w:left="708"/>
        <w:jc w:val="both"/>
        <w:rPr>
          <w:rFonts w:ascii="Lato" w:hAnsi="Lato" w:cs="Times New Roman"/>
        </w:rPr>
      </w:pPr>
    </w:p>
    <w:p w14:paraId="31349076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5840747"/>
      <w:bookmarkEnd w:id="23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24"/>
    </w:p>
    <w:p w14:paraId="4896DC87" w14:textId="48354C8B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A23646">
        <w:rPr>
          <w:rFonts w:ascii="Lato" w:hAnsi="Lato" w:cs="Times New Roman"/>
          <w:b/>
          <w:bCs/>
        </w:rPr>
        <w:t>0</w:t>
      </w:r>
      <w:r w:rsidRPr="00AF4C41">
        <w:rPr>
          <w:rFonts w:ascii="Lato" w:hAnsi="Lato" w:cs="Times New Roman"/>
          <w:b/>
          <w:bCs/>
        </w:rPr>
        <w:t>.</w:t>
      </w:r>
    </w:p>
    <w:p w14:paraId="5E9702D4" w14:textId="27D987A4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przedsięwzięcia</w:t>
      </w:r>
      <w:r w:rsidRPr="00E4035F">
        <w:rPr>
          <w:rFonts w:ascii="Lato" w:hAnsi="Lato" w:cs="Times New Roman"/>
        </w:rPr>
        <w:t xml:space="preserve"> jest udzielenie wsparcia w postaci stypendiów dla studentów I roku </w:t>
      </w:r>
      <w:r>
        <w:rPr>
          <w:rFonts w:ascii="Lato" w:hAnsi="Lato" w:cs="Times New Roman"/>
        </w:rPr>
        <w:t xml:space="preserve">jednolitych studiów magisterskich </w:t>
      </w:r>
      <w:r w:rsidRPr="00E4035F">
        <w:rPr>
          <w:rFonts w:ascii="Lato" w:hAnsi="Lato" w:cs="Times New Roman"/>
        </w:rPr>
        <w:t xml:space="preserve">kierunku lekarskiego, lekarsko-dentystycznego, analityka medyczna, fizjoterapia oraz farmacja, studiów stacjonarnych lub niestacjonarnych w uczelni publicznej lub uczelni niepublicznej przez okres łączny trzech lat, począwszy od </w:t>
      </w:r>
      <w:r>
        <w:rPr>
          <w:rFonts w:ascii="Lato" w:hAnsi="Lato" w:cs="Times New Roman"/>
        </w:rPr>
        <w:t xml:space="preserve">semestru zimowego </w:t>
      </w:r>
      <w:r w:rsidRPr="00E4035F">
        <w:rPr>
          <w:rFonts w:ascii="Lato" w:hAnsi="Lato" w:cs="Times New Roman"/>
        </w:rPr>
        <w:t>roku akademickiego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</w:p>
    <w:p w14:paraId="62546C69" w14:textId="10F4D48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Wsparcie</w:t>
      </w:r>
      <w:r w:rsidRPr="00E4035F">
        <w:rPr>
          <w:rFonts w:ascii="Lato" w:hAnsi="Lato" w:cs="Times New Roman"/>
        </w:rPr>
        <w:t xml:space="preserve"> będzie obejmowało wypłatę stypendiów przez okres 9 miesięcy roku akademickiego (od października do czerwca włącznie). Na kierunkach objętych wsparciem stypendia będą przyznawane na okres 3 lat. Stypendia zostaną przyznane studentom, którzy rozpoczęli naukę na pierwszym roku </w:t>
      </w:r>
      <w:r>
        <w:rPr>
          <w:rFonts w:ascii="Lato" w:hAnsi="Lato" w:cs="Times New Roman"/>
        </w:rPr>
        <w:t xml:space="preserve">jednolitych </w:t>
      </w:r>
      <w:r w:rsidRPr="00E4035F">
        <w:rPr>
          <w:rFonts w:ascii="Lato" w:hAnsi="Lato" w:cs="Times New Roman"/>
        </w:rPr>
        <w:t xml:space="preserve">studiów </w:t>
      </w:r>
      <w:r>
        <w:rPr>
          <w:rFonts w:ascii="Lato" w:hAnsi="Lato" w:cs="Times New Roman"/>
        </w:rPr>
        <w:t xml:space="preserve">magisterskich </w:t>
      </w:r>
      <w:r w:rsidR="00DE0BEF" w:rsidRPr="004F75B9">
        <w:rPr>
          <w:rFonts w:ascii="Lato" w:hAnsi="Lato" w:cs="Times New Roman"/>
          <w:b/>
          <w:bCs/>
        </w:rPr>
        <w:t>na uczelni wnioskującej</w:t>
      </w:r>
      <w:r w:rsidR="00DE0BE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semestrze zimowym </w:t>
      </w:r>
      <w:r w:rsidRPr="00E4035F">
        <w:rPr>
          <w:rFonts w:ascii="Lato" w:hAnsi="Lato" w:cs="Times New Roman"/>
        </w:rPr>
        <w:t>w roku akademickim 202</w:t>
      </w:r>
      <w:r w:rsidR="00D01EFB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 w:rsidR="00D01EFB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  <w:r w:rsidRPr="00BB76F2">
        <w:rPr>
          <w:rFonts w:ascii="Lato" w:hAnsi="Lato" w:cs="Times New Roman"/>
        </w:rPr>
        <w:t xml:space="preserve">Miesięczna </w:t>
      </w:r>
      <w:r>
        <w:rPr>
          <w:rFonts w:ascii="Lato" w:hAnsi="Lato" w:cs="Times New Roman"/>
        </w:rPr>
        <w:t xml:space="preserve">kwota </w:t>
      </w:r>
      <w:r w:rsidRPr="00BB76F2">
        <w:rPr>
          <w:rFonts w:ascii="Lato" w:hAnsi="Lato" w:cs="Times New Roman"/>
        </w:rPr>
        <w:t>stypendium wynosi 3.000 zł.</w:t>
      </w:r>
    </w:p>
    <w:p w14:paraId="5BCFD97A" w14:textId="02FAD62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3B04A8">
        <w:rPr>
          <w:rFonts w:ascii="Lato" w:hAnsi="Lato" w:cs="Times New Roman"/>
          <w:bCs/>
        </w:rPr>
        <w:t>drugiej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</w:rPr>
        <w:t>edycji przyznawania stypendiów – rozpoczynającej się w roku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4FD6F549" w14:textId="77777777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Wsparcie w postaci stypendiów udzielanych oraz wypłacanych w ramach przedsięwzięcia obejmie realizację płatności za okres 9 miesięcy począwszy od:</w:t>
      </w:r>
    </w:p>
    <w:p w14:paraId="048CD4CE" w14:textId="1EEF4AEB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r., w pierwszym roku objęcia wsparciem,</w:t>
      </w:r>
    </w:p>
    <w:p w14:paraId="29CC89CD" w14:textId="4BB9D937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r., w drugim roku objęcia wsparciem,</w:t>
      </w:r>
    </w:p>
    <w:p w14:paraId="573C71D0" w14:textId="1E7FC245" w:rsidR="003B04A8" w:rsidRDefault="007F2451" w:rsidP="003B04A8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5</w:t>
      </w:r>
      <w:r w:rsidRPr="00E4035F">
        <w:rPr>
          <w:rFonts w:ascii="Lato" w:hAnsi="Lato" w:cs="Times New Roman"/>
        </w:rPr>
        <w:t xml:space="preserve"> r., w trzecim roku objęcia wsparciem.</w:t>
      </w:r>
    </w:p>
    <w:p w14:paraId="030FCF41" w14:textId="77777777" w:rsidR="004F75B9" w:rsidRPr="004F75B9" w:rsidRDefault="004F75B9" w:rsidP="004F75B9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0E7F67B1" w14:textId="77777777" w:rsidR="003B04A8" w:rsidRPr="003B04A8" w:rsidRDefault="003B04A8" w:rsidP="003B04A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>Pierwsza wypłata środków w formie zaliczki zostanie przekazana w wysokości obejmującej łączną wartość wydatków kwalifikowalnych poniesionych w ramach Przedsięwzięcia w roku akademickim 2023/2024,  2024/2025 oraz poniesionych/planowanych do poniesienia w I semestrze roku akademickiego 2025/2026   po złożeniu przez OOW i zatwierdzeniu przez IOI wniosku o płatność.</w:t>
      </w:r>
    </w:p>
    <w:p w14:paraId="184CEE25" w14:textId="77777777" w:rsidR="004F75B9" w:rsidRDefault="003B04A8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 xml:space="preserve">Druga   wyłata środków nastąpi w formie zaliczki. Transza w formie zaliczki zostanie przekazana w wysokości obejmującej wartość wsparcia przyznanego przez OOW w ramach realizacji Przedsięwzięcia na II semestr roku akademickiego 2025/2026, po złożeniu przez OOW i zatwierdzeniu przez IOI wniosku rozliczającego pierwszą zaliczkę i złożeniu wniosku o kolejną płatność zaliczkową.   </w:t>
      </w:r>
    </w:p>
    <w:p w14:paraId="6A2A1E9F" w14:textId="128C7B31" w:rsidR="003B04A8" w:rsidRPr="004F75B9" w:rsidRDefault="00D736B9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Zasady przyznawania stypendiów na kolejnych latach muszą być określone w regulaminie stypendiów</w:t>
      </w:r>
      <w:r w:rsidR="00AA6A7F" w:rsidRPr="004F75B9">
        <w:rPr>
          <w:rFonts w:ascii="Lato" w:hAnsi="Lato" w:cs="Times New Roman"/>
        </w:rPr>
        <w:t>, o którym mowa w § 9 ust. 3 Regulaminu wyboru</w:t>
      </w:r>
      <w:r w:rsidR="004F75B9">
        <w:rPr>
          <w:rFonts w:ascii="Lato" w:hAnsi="Lato" w:cs="Times New Roman"/>
        </w:rPr>
        <w:t>,</w:t>
      </w:r>
      <w:r w:rsidR="00716F32" w:rsidRPr="004F75B9">
        <w:rPr>
          <w:rFonts w:ascii="Lato" w:hAnsi="Lato" w:cs="Times New Roman"/>
        </w:rPr>
        <w:t xml:space="preserve"> z </w:t>
      </w:r>
      <w:r w:rsidR="00716F32" w:rsidRPr="004F75B9">
        <w:rPr>
          <w:rFonts w:ascii="Lato" w:hAnsi="Lato" w:cs="Times New Roman"/>
        </w:rPr>
        <w:lastRenderedPageBreak/>
        <w:t xml:space="preserve">uwzględnieniem średniej </w:t>
      </w:r>
      <w:r w:rsidR="00136372">
        <w:rPr>
          <w:rFonts w:ascii="Lato" w:hAnsi="Lato" w:cs="Times New Roman"/>
        </w:rPr>
        <w:t>minimum</w:t>
      </w:r>
      <w:r w:rsidR="00716F32" w:rsidRPr="004F75B9">
        <w:rPr>
          <w:rFonts w:ascii="Lato" w:hAnsi="Lato" w:cs="Times New Roman"/>
        </w:rPr>
        <w:t xml:space="preserve"> 4.0 na I </w:t>
      </w:r>
      <w:proofErr w:type="spellStart"/>
      <w:r w:rsidR="00716F32" w:rsidRPr="004F75B9">
        <w:rPr>
          <w:rFonts w:ascii="Lato" w:hAnsi="Lato" w:cs="Times New Roman"/>
        </w:rPr>
        <w:t>i</w:t>
      </w:r>
      <w:proofErr w:type="spellEnd"/>
      <w:r w:rsidR="00716F32" w:rsidRPr="004F75B9">
        <w:rPr>
          <w:rFonts w:ascii="Lato" w:hAnsi="Lato" w:cs="Times New Roman"/>
        </w:rPr>
        <w:t xml:space="preserve"> II roku oraz listy rankingowej przyjęć na studia.</w:t>
      </w:r>
    </w:p>
    <w:p w14:paraId="78308DF1" w14:textId="0FFAB3E1" w:rsidR="007F2451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Wsparcie w ramach przedsięwzięcia </w:t>
      </w:r>
      <w:r w:rsidR="003B04A8">
        <w:rPr>
          <w:rFonts w:ascii="Lato" w:hAnsi="Lato" w:cs="Times New Roman"/>
        </w:rPr>
        <w:t>przyznawane</w:t>
      </w:r>
      <w:r w:rsidRPr="00E4035F">
        <w:rPr>
          <w:rFonts w:ascii="Lato" w:hAnsi="Lato" w:cs="Times New Roman"/>
        </w:rPr>
        <w:t xml:space="preserve"> jest zgodnie z zapisami zawartymi w opisie Działania </w:t>
      </w:r>
      <w:r w:rsidR="006B4A98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t xml:space="preserve"> Systemu zachęt.</w:t>
      </w:r>
    </w:p>
    <w:p w14:paraId="152E88DA" w14:textId="77777777" w:rsidR="001960A6" w:rsidRPr="00DB40B7" w:rsidRDefault="001960A6" w:rsidP="00DB40B7">
      <w:pPr>
        <w:spacing w:before="120" w:line="276" w:lineRule="auto"/>
        <w:rPr>
          <w:rFonts w:ascii="Lato" w:hAnsi="Lato" w:cs="Times New Roman"/>
          <w:b/>
          <w:bCs/>
        </w:rPr>
      </w:pPr>
    </w:p>
    <w:p w14:paraId="7F5E0492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5" w:name="_Toc215840748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25"/>
    </w:p>
    <w:p w14:paraId="54E24761" w14:textId="5212CAF0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4E78BE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 xml:space="preserve">. </w:t>
      </w:r>
    </w:p>
    <w:p w14:paraId="07D93546" w14:textId="1FEE14A8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E4035F">
        <w:rPr>
          <w:rFonts w:ascii="Lato" w:hAnsi="Lato" w:cs="Times New Roman"/>
          <w:b/>
        </w:rPr>
        <w:t>uczelnia publiczna lub niepubliczna</w:t>
      </w:r>
      <w:r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  <w:bCs/>
          <w:color w:val="C00000"/>
        </w:rPr>
        <w:t xml:space="preserve"> </w:t>
      </w:r>
      <w:r w:rsidRPr="00E4035F">
        <w:rPr>
          <w:rFonts w:ascii="Lato" w:hAnsi="Lato" w:cs="Times New Roman"/>
          <w:bCs/>
        </w:rPr>
        <w:t xml:space="preserve">spełniająca warunki określone w </w:t>
      </w:r>
      <w:r w:rsidRPr="00410B49">
        <w:rPr>
          <w:rFonts w:ascii="Lato" w:hAnsi="Lato" w:cs="Times New Roman"/>
          <w:bCs/>
        </w:rPr>
        <w:t xml:space="preserve">§ </w:t>
      </w:r>
      <w:r w:rsidR="004E78BE">
        <w:rPr>
          <w:rFonts w:ascii="Lato" w:hAnsi="Lato" w:cs="Times New Roman"/>
          <w:bCs/>
        </w:rPr>
        <w:t>9</w:t>
      </w:r>
      <w:r w:rsidRPr="00410B49">
        <w:rPr>
          <w:rFonts w:ascii="Lato" w:hAnsi="Lato" w:cs="Times New Roman"/>
          <w:bCs/>
        </w:rPr>
        <w:t xml:space="preserve"> ust. 2</w:t>
      </w:r>
      <w:r>
        <w:rPr>
          <w:rFonts w:ascii="Lato" w:hAnsi="Lato" w:cs="Times New Roman"/>
          <w:bCs/>
        </w:rPr>
        <w:t>.</w:t>
      </w:r>
    </w:p>
    <w:p w14:paraId="32DD7A86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75B23414" w14:textId="0C6C9905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C12AAA">
        <w:rPr>
          <w:rFonts w:ascii="Lato" w:hAnsi="Lato" w:cs="Times New Roman"/>
          <w:b/>
          <w:iCs/>
        </w:rPr>
        <w:t>załącznik nr 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5084D575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 złożony jest z dwóch etapów:</w:t>
      </w:r>
    </w:p>
    <w:p w14:paraId="12FDBC74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etap pierwszy zwany w dalszej części „</w:t>
      </w:r>
      <w:r w:rsidRPr="00E4035F">
        <w:rPr>
          <w:rFonts w:ascii="Lato" w:hAnsi="Lato" w:cs="Times New Roman"/>
          <w:b/>
          <w:iCs/>
        </w:rPr>
        <w:t>Naborem wstępnym</w:t>
      </w:r>
      <w:r w:rsidRPr="00E4035F">
        <w:rPr>
          <w:rFonts w:ascii="Lato" w:hAnsi="Lato" w:cs="Times New Roman"/>
          <w:bCs/>
          <w:iCs/>
        </w:rPr>
        <w:t>”,</w:t>
      </w:r>
    </w:p>
    <w:p w14:paraId="2B33648A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etap drugi, zwany w dalszej części „</w:t>
      </w:r>
      <w:r w:rsidRPr="00E4035F">
        <w:rPr>
          <w:rFonts w:ascii="Lato" w:eastAsiaTheme="minorHAnsi" w:hAnsi="Lato" w:cs="Times New Roman"/>
          <w:b/>
          <w:bCs/>
        </w:rPr>
        <w:t>Naborem</w:t>
      </w:r>
      <w:r w:rsidRPr="00E4035F">
        <w:rPr>
          <w:rFonts w:ascii="Lato" w:eastAsiaTheme="minorHAnsi" w:hAnsi="Lato" w:cs="Times New Roman"/>
        </w:rPr>
        <w:t>”.</w:t>
      </w:r>
    </w:p>
    <w:p w14:paraId="6DA4D706" w14:textId="77777777" w:rsidR="007F2451" w:rsidRPr="0006313C" w:rsidRDefault="007F2451" w:rsidP="007F2451">
      <w:pPr>
        <w:spacing w:before="120" w:after="120" w:line="276" w:lineRule="auto"/>
        <w:rPr>
          <w:rFonts w:ascii="Lato" w:eastAsiaTheme="minorHAnsi" w:hAnsi="Lato" w:cs="Times New Roman"/>
          <w:b/>
          <w:bCs/>
        </w:rPr>
      </w:pPr>
    </w:p>
    <w:p w14:paraId="67D9F9AA" w14:textId="6C35C311" w:rsidR="007F2451" w:rsidRPr="00D05C3B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05C3B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2</w:t>
      </w:r>
      <w:r w:rsidRPr="00D05C3B">
        <w:rPr>
          <w:rFonts w:ascii="Lato" w:eastAsiaTheme="minorHAnsi" w:hAnsi="Lato" w:cs="Times New Roman"/>
          <w:b/>
          <w:bCs/>
        </w:rPr>
        <w:t>.</w:t>
      </w:r>
    </w:p>
    <w:p w14:paraId="304BCB98" w14:textId="09FD240C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E4035F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/>
        </w:rPr>
        <w:t xml:space="preserve"> wstępny</w:t>
      </w:r>
      <w:r w:rsidRPr="00E4035F">
        <w:rPr>
          <w:rFonts w:ascii="Lato" w:eastAsiaTheme="minorHAnsi" w:hAnsi="Lato" w:cs="Times New Roman"/>
        </w:rPr>
        <w:t xml:space="preserve"> przeprowadzony zostanie w celu zebrania informacji ze strony uczelni zaineresowanych wsparciem, które spełniają kryteria Działania 1 Systemu zachęt określone w § </w:t>
      </w:r>
      <w:r w:rsidR="004E78BE">
        <w:rPr>
          <w:rFonts w:ascii="Lato" w:eastAsiaTheme="minorHAnsi" w:hAnsi="Lato" w:cs="Times New Roman"/>
        </w:rPr>
        <w:t>9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ust.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, o liczbie studentów kierunków objętych wsparciem w ramach Działania 1 Systemu zachęt, którzy rozpoczęli naukę na I roku </w:t>
      </w:r>
      <w:r w:rsidR="006A1443">
        <w:rPr>
          <w:rFonts w:ascii="Lato" w:eastAsiaTheme="minorHAnsi" w:hAnsi="Lato" w:cs="Times New Roman"/>
        </w:rPr>
        <w:t xml:space="preserve">jednolitych </w:t>
      </w:r>
      <w:r w:rsidRPr="00E4035F">
        <w:rPr>
          <w:rFonts w:ascii="Lato" w:eastAsiaTheme="minorHAnsi" w:hAnsi="Lato" w:cs="Times New Roman"/>
        </w:rPr>
        <w:t xml:space="preserve">studiów </w:t>
      </w:r>
      <w:r w:rsidR="006A1443">
        <w:rPr>
          <w:rFonts w:ascii="Lato" w:eastAsiaTheme="minorHAnsi" w:hAnsi="Lato" w:cs="Times New Roman"/>
        </w:rPr>
        <w:t xml:space="preserve">magisterskich </w:t>
      </w:r>
      <w:r w:rsidRPr="00E4035F">
        <w:rPr>
          <w:rFonts w:ascii="Lato" w:eastAsiaTheme="minorHAnsi" w:hAnsi="Lato" w:cs="Times New Roman"/>
        </w:rPr>
        <w:t>w roku akademickim 202</w:t>
      </w:r>
      <w:r w:rsidR="006A1443">
        <w:rPr>
          <w:rFonts w:ascii="Lato" w:eastAsiaTheme="minorHAnsi" w:hAnsi="Lato" w:cs="Times New Roman"/>
        </w:rPr>
        <w:t>3</w:t>
      </w:r>
      <w:r w:rsidRPr="00E4035F">
        <w:rPr>
          <w:rFonts w:ascii="Lato" w:eastAsiaTheme="minorHAnsi" w:hAnsi="Lato" w:cs="Times New Roman"/>
        </w:rPr>
        <w:t>/202</w:t>
      </w:r>
      <w:r w:rsidR="006A1443">
        <w:rPr>
          <w:rFonts w:ascii="Lato" w:eastAsiaTheme="minorHAnsi" w:hAnsi="Lato" w:cs="Times New Roman"/>
        </w:rPr>
        <w:t>4</w:t>
      </w:r>
      <w:r w:rsidRPr="00E4035F">
        <w:rPr>
          <w:rFonts w:ascii="Lato" w:eastAsiaTheme="minorHAnsi" w:hAnsi="Lato" w:cs="Times New Roman"/>
        </w:rPr>
        <w:t xml:space="preserve"> (</w:t>
      </w:r>
      <w:r w:rsidRPr="00E4035F">
        <w:rPr>
          <w:rFonts w:ascii="Lato" w:hAnsi="Lato" w:cs="Times New Roman"/>
        </w:rPr>
        <w:t>Polaków oraz cudzoziemców, o których mowa w art. 324 ust. 2 ustawy – Prawo o szkolnictwie wyższym i nauce).</w:t>
      </w:r>
    </w:p>
    <w:p w14:paraId="66CE6214" w14:textId="4A669E97" w:rsidR="007F2451" w:rsidRPr="00C51059" w:rsidRDefault="007F2451" w:rsidP="00C51059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Zgodnie z opisem Działania 1 Systemu zachęt, minister właściwy ds. zdrowia na podstawie informacji o których mowa w </w:t>
      </w:r>
      <w:r>
        <w:rPr>
          <w:rFonts w:ascii="Lato" w:hAnsi="Lato" w:cs="Times New Roman"/>
          <w:bCs/>
          <w:iCs/>
        </w:rPr>
        <w:t xml:space="preserve">ust. </w:t>
      </w:r>
      <w:r w:rsidRPr="00E4035F">
        <w:rPr>
          <w:rFonts w:ascii="Lato" w:hAnsi="Lato" w:cs="Times New Roman"/>
          <w:bCs/>
          <w:iCs/>
        </w:rPr>
        <w:t>1</w:t>
      </w:r>
      <w:r>
        <w:rPr>
          <w:rFonts w:ascii="Lato" w:hAnsi="Lato" w:cs="Times New Roman"/>
          <w:bCs/>
          <w:iCs/>
        </w:rPr>
        <w:t xml:space="preserve">, </w:t>
      </w:r>
      <w:r w:rsidRPr="00E4035F">
        <w:rPr>
          <w:rFonts w:ascii="Lato" w:hAnsi="Lato" w:cs="Times New Roman"/>
          <w:bCs/>
          <w:iCs/>
        </w:rPr>
        <w:t xml:space="preserve">przekazanych przez wszystkie uczelnie kwalifikujące się do realizacji przedsięwzięcia, określi </w:t>
      </w:r>
      <w:r w:rsidR="00F32BBB">
        <w:rPr>
          <w:rFonts w:ascii="Lato" w:hAnsi="Lato" w:cs="Times New Roman"/>
          <w:bCs/>
          <w:iCs/>
        </w:rPr>
        <w:t>dla</w:t>
      </w:r>
      <w:r w:rsidRPr="00E4035F">
        <w:rPr>
          <w:rFonts w:ascii="Lato" w:hAnsi="Lato" w:cs="Times New Roman"/>
          <w:bCs/>
          <w:iCs/>
        </w:rPr>
        <w:t xml:space="preserve"> każdej uczelni </w:t>
      </w:r>
      <w:r w:rsidRPr="00E4035F">
        <w:rPr>
          <w:rFonts w:ascii="Lato" w:hAnsi="Lato" w:cs="Times New Roman"/>
          <w:b/>
          <w:iCs/>
        </w:rPr>
        <w:t>jednolity procent</w:t>
      </w:r>
      <w:r w:rsidRPr="00E4035F">
        <w:rPr>
          <w:rFonts w:ascii="Lato" w:hAnsi="Lato" w:cs="Times New Roman"/>
          <w:bCs/>
          <w:iCs/>
        </w:rPr>
        <w:t xml:space="preserve"> liczby studentów, którzy będą mogli otrzymać stypendium</w:t>
      </w:r>
      <w:r>
        <w:rPr>
          <w:rFonts w:ascii="Lato" w:hAnsi="Lato" w:cs="Times New Roman"/>
          <w:bCs/>
          <w:iCs/>
        </w:rPr>
        <w:t>, wraz ze wskazaniem liczby studentów odpowiadającej jednolitemu procentowi.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Stypendium zostanie przyznane studentowi na podstawie złożonego </w:t>
      </w:r>
      <w:r w:rsidR="00790E8A">
        <w:rPr>
          <w:rFonts w:ascii="Lato" w:hAnsi="Lato" w:cs="Times New Roman"/>
          <w:bCs/>
          <w:iCs/>
        </w:rPr>
        <w:t>w</w:t>
      </w:r>
      <w:r w:rsidR="00790E8A" w:rsidRPr="00790E8A">
        <w:rPr>
          <w:rFonts w:ascii="Lato" w:hAnsi="Lato" w:cs="Times New Roman"/>
          <w:bCs/>
          <w:iCs/>
        </w:rPr>
        <w:t>niosku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o stypendium. Wniosek o stypendium składa student bezpośrednio na uczelni, </w:t>
      </w:r>
      <w:r w:rsidR="00790E8A" w:rsidRPr="00C51059">
        <w:rPr>
          <w:rFonts w:ascii="Lato" w:hAnsi="Lato" w:cs="Times New Roman"/>
          <w:bCs/>
          <w:iCs/>
        </w:rPr>
        <w:t xml:space="preserve">na której </w:t>
      </w:r>
      <w:r w:rsidR="00980F5A" w:rsidRPr="00C51059">
        <w:rPr>
          <w:rFonts w:ascii="Lato" w:hAnsi="Lato" w:cs="Times New Roman"/>
          <w:bCs/>
          <w:iCs/>
        </w:rPr>
        <w:t xml:space="preserve">rozpoczął studia i </w:t>
      </w:r>
      <w:r w:rsidR="00C51059" w:rsidRPr="00C51059">
        <w:rPr>
          <w:rFonts w:ascii="Lato" w:hAnsi="Lato" w:cs="Times New Roman"/>
          <w:bCs/>
          <w:iCs/>
        </w:rPr>
        <w:t>kontynuuje</w:t>
      </w:r>
      <w:r w:rsidR="00980F5A" w:rsidRPr="00C51059">
        <w:rPr>
          <w:rFonts w:ascii="Lato" w:hAnsi="Lato" w:cs="Times New Roman"/>
          <w:bCs/>
          <w:iCs/>
        </w:rPr>
        <w:t xml:space="preserve"> </w:t>
      </w:r>
      <w:r w:rsidR="00C51059" w:rsidRPr="00C51059">
        <w:rPr>
          <w:rFonts w:ascii="Lato" w:hAnsi="Lato" w:cs="Times New Roman"/>
          <w:bCs/>
          <w:iCs/>
        </w:rPr>
        <w:t xml:space="preserve">je </w:t>
      </w:r>
      <w:r w:rsidR="00790E8A" w:rsidRPr="00C51059">
        <w:rPr>
          <w:rFonts w:ascii="Lato" w:hAnsi="Lato" w:cs="Times New Roman"/>
          <w:bCs/>
          <w:iCs/>
        </w:rPr>
        <w:t>na kierunku, w ramach którego ubiega się o stypendium</w:t>
      </w:r>
      <w:r w:rsidR="002E67B9">
        <w:rPr>
          <w:rStyle w:val="Odwoanieprzypisudolnego"/>
          <w:rFonts w:ascii="Lato" w:hAnsi="Lato" w:cs="Times New Roman"/>
          <w:bCs/>
          <w:iCs/>
        </w:rPr>
        <w:footnoteReference w:id="4"/>
      </w:r>
      <w:r w:rsidR="00790E8A" w:rsidRPr="00C51059">
        <w:rPr>
          <w:rFonts w:ascii="Lato" w:hAnsi="Lato" w:cs="Times New Roman"/>
          <w:bCs/>
          <w:iCs/>
        </w:rPr>
        <w:t xml:space="preserve">. </w:t>
      </w:r>
    </w:p>
    <w:p w14:paraId="16958DA2" w14:textId="3D371794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>Uczelnia zainteresowana otrzymaniem wsparcia</w:t>
      </w:r>
      <w:r>
        <w:rPr>
          <w:rFonts w:ascii="Lato" w:hAnsi="Lato" w:cs="Times New Roman"/>
          <w:bCs/>
          <w:iCs/>
        </w:rPr>
        <w:t>,</w:t>
      </w:r>
      <w:r w:rsidRPr="00E4035F">
        <w:rPr>
          <w:rFonts w:ascii="Lato" w:hAnsi="Lato" w:cs="Times New Roman"/>
          <w:bCs/>
          <w:iCs/>
        </w:rPr>
        <w:t xml:space="preserve"> przesyła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niosek wstępny zawierający informacje, o których mowa w</w:t>
      </w:r>
      <w:r>
        <w:rPr>
          <w:rFonts w:ascii="Lato" w:hAnsi="Lato" w:cs="Times New Roman"/>
          <w:bCs/>
          <w:iCs/>
        </w:rPr>
        <w:t xml:space="preserve"> ust.</w:t>
      </w:r>
      <w:r w:rsidRPr="00E4035F">
        <w:rPr>
          <w:rFonts w:ascii="Lato" w:hAnsi="Lato" w:cs="Times New Roman"/>
          <w:bCs/>
          <w:iCs/>
        </w:rPr>
        <w:t xml:space="preserve"> 1</w:t>
      </w:r>
      <w:r>
        <w:rPr>
          <w:rFonts w:ascii="Lato" w:hAnsi="Lato" w:cs="Times New Roman"/>
          <w:bCs/>
          <w:iCs/>
        </w:rPr>
        <w:t xml:space="preserve">, w terminie wskazanym w § </w:t>
      </w:r>
      <w:r w:rsidR="004E78BE">
        <w:rPr>
          <w:rFonts w:ascii="Lato" w:hAnsi="Lato" w:cs="Times New Roman"/>
          <w:bCs/>
          <w:iCs/>
        </w:rPr>
        <w:t>6</w:t>
      </w:r>
      <w:r>
        <w:rPr>
          <w:rFonts w:ascii="Lato" w:hAnsi="Lato" w:cs="Times New Roman"/>
          <w:bCs/>
          <w:iCs/>
        </w:rPr>
        <w:t xml:space="preserve"> ust. 1.</w:t>
      </w:r>
    </w:p>
    <w:p w14:paraId="026736B4" w14:textId="05905C8A" w:rsidR="007F2451" w:rsidRPr="00CF115E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 xml:space="preserve">niosku wstępnego stanowi </w:t>
      </w:r>
      <w:r>
        <w:rPr>
          <w:rFonts w:ascii="Lato" w:hAnsi="Lato" w:cs="Times New Roman"/>
          <w:b/>
          <w:iCs/>
        </w:rPr>
        <w:t>z</w:t>
      </w:r>
      <w:r w:rsidRPr="00081752">
        <w:rPr>
          <w:rFonts w:ascii="Lato" w:hAnsi="Lato" w:cs="Times New Roman"/>
          <w:b/>
          <w:iCs/>
        </w:rPr>
        <w:t>ałącznik nr 2 do Regulaminu</w:t>
      </w:r>
      <w:r w:rsidRPr="00E4035F">
        <w:rPr>
          <w:rFonts w:ascii="Lato" w:hAnsi="Lato" w:cs="Times New Roman"/>
          <w:bCs/>
          <w:iCs/>
        </w:rPr>
        <w:t>.</w:t>
      </w:r>
    </w:p>
    <w:p w14:paraId="4CAA495E" w14:textId="0CBA959A" w:rsidR="007F2451" w:rsidRPr="00634F9E" w:rsidRDefault="007F2451" w:rsidP="00AB2512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005356">
        <w:rPr>
          <w:rFonts w:ascii="Lato" w:hAnsi="Lato" w:cs="Times New Roman"/>
          <w:bCs/>
          <w:iCs/>
        </w:rPr>
        <w:t xml:space="preserve">Złożenie </w:t>
      </w:r>
      <w:r w:rsidR="004F6F6A">
        <w:rPr>
          <w:rFonts w:ascii="Lato" w:hAnsi="Lato" w:cs="Times New Roman"/>
          <w:bCs/>
          <w:iCs/>
        </w:rPr>
        <w:t>w</w:t>
      </w:r>
      <w:r w:rsidRPr="00005356">
        <w:rPr>
          <w:rFonts w:ascii="Lato" w:hAnsi="Lato" w:cs="Times New Roman"/>
          <w:bCs/>
          <w:iCs/>
        </w:rPr>
        <w:t>niosku wstępnego jest warunkiem uczestnictwa uczelni w drugim etapie naboru</w:t>
      </w:r>
      <w:bookmarkStart w:id="26" w:name="_Hlk155183122"/>
      <w:r w:rsidRPr="00005356">
        <w:rPr>
          <w:rFonts w:ascii="Lato" w:eastAsiaTheme="minorHAnsi" w:hAnsi="Lato" w:cs="Times New Roman"/>
        </w:rPr>
        <w:t>.</w:t>
      </w:r>
      <w:r w:rsidR="00005356" w:rsidRPr="00005356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005356" w:rsidRPr="00005356">
        <w:rPr>
          <w:rFonts w:ascii="Lato" w:eastAsiaTheme="minorHAnsi" w:hAnsi="Lato" w:cs="Times New Roman"/>
        </w:rPr>
        <w:t>ePUAP</w:t>
      </w:r>
      <w:proofErr w:type="spellEnd"/>
      <w:r w:rsidR="006E5272">
        <w:rPr>
          <w:rFonts w:ascii="Lato" w:eastAsiaTheme="minorHAnsi" w:hAnsi="Lato" w:cs="Times New Roman"/>
        </w:rPr>
        <w:t>/</w:t>
      </w:r>
      <w:r w:rsidR="006E5272" w:rsidRPr="006E5272">
        <w:rPr>
          <w:rFonts w:ascii="Lato" w:eastAsiaTheme="minorHAnsi" w:hAnsi="Lato" w:cs="Times New Roman"/>
        </w:rPr>
        <w:t xml:space="preserve"> poprzez skrzynkę do e-Doręczeń</w:t>
      </w:r>
      <w:r w:rsidR="00005356" w:rsidRPr="00005356">
        <w:rPr>
          <w:rFonts w:ascii="Lato" w:eastAsiaTheme="minorHAnsi" w:hAnsi="Lato" w:cs="Times New Roman"/>
        </w:rPr>
        <w:t>, do przedstawienia wyjaśnień oraz do ewentualnej poprawy lub uzupełnienia informacji zawartej w ww. wniosku</w:t>
      </w:r>
      <w:r w:rsidR="00005356">
        <w:rPr>
          <w:rFonts w:ascii="Lato" w:eastAsiaTheme="minorHAnsi" w:hAnsi="Lato" w:cs="Times New Roman"/>
        </w:rPr>
        <w:t>. Termin na poprawę wniosku wstępnego wynosi 7 dni od dnia otrzymania wezwania</w:t>
      </w:r>
      <w:bookmarkEnd w:id="26"/>
      <w:r w:rsidR="00005356">
        <w:rPr>
          <w:rFonts w:ascii="Lato" w:eastAsiaTheme="minorHAnsi" w:hAnsi="Lato" w:cs="Times New Roman"/>
        </w:rPr>
        <w:t>.</w:t>
      </w:r>
      <w:r w:rsidR="00AB2512">
        <w:rPr>
          <w:rFonts w:ascii="Lato" w:eastAsiaTheme="minorHAnsi" w:hAnsi="Lato" w:cs="Times New Roman"/>
        </w:rPr>
        <w:t xml:space="preserve"> </w:t>
      </w:r>
      <w:r w:rsidR="00AB2512" w:rsidRPr="004015F9">
        <w:rPr>
          <w:rStyle w:val="ui-provider"/>
          <w:rFonts w:ascii="Lato" w:hAnsi="Lato"/>
        </w:rPr>
        <w:t>Jeżeli Wnioskodawca nie złoży wyjaśnień lub nie dokona ewentualnej poprawy lub uzupełnienia informacji zawartych we wniosku wstępnym w wyznaczonym terminie, IOI oceni wniosek w oparciu o posiadane informacje i dokumenty. W przypadku rozbieżności między informacjami przedstawionymi przez Wnioskodawcę a danymi IOI, wiążące są dane IOI.</w:t>
      </w:r>
      <w:r w:rsidR="006E5272">
        <w:rPr>
          <w:rStyle w:val="ui-provider"/>
          <w:rFonts w:ascii="Lato" w:hAnsi="Lato"/>
        </w:rPr>
        <w:t xml:space="preserve"> </w:t>
      </w:r>
      <w:r w:rsidR="006E5272" w:rsidRPr="006E5272">
        <w:rPr>
          <w:rFonts w:ascii="Lato" w:hAnsi="Lato"/>
        </w:rPr>
        <w:t>Wnioskodawca może być wezwany do poprawy wniosku wstępnego nie więcej niż 3 razy.</w:t>
      </w:r>
    </w:p>
    <w:p w14:paraId="3BCD7AE9" w14:textId="48E076D5" w:rsidR="007F2451" w:rsidRPr="004D4113" w:rsidRDefault="007F2451" w:rsidP="004D4113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E4035F">
        <w:rPr>
          <w:rFonts w:ascii="Lato" w:hAnsi="Lato" w:cs="Times New Roman"/>
          <w:bCs/>
          <w:iCs/>
        </w:rPr>
        <w:t>ePUAP</w:t>
      </w:r>
      <w:proofErr w:type="spellEnd"/>
      <w:r w:rsidR="006E5272">
        <w:rPr>
          <w:rFonts w:ascii="Lato" w:hAnsi="Lato" w:cs="Times New Roman"/>
          <w:bCs/>
          <w:iCs/>
        </w:rPr>
        <w:t>/</w:t>
      </w:r>
      <w:r w:rsidR="006E5272" w:rsidRPr="006E5272">
        <w:rPr>
          <w:rFonts w:ascii="Lato" w:hAnsi="Lato" w:cs="Times New Roman"/>
          <w:bCs/>
          <w:iCs/>
        </w:rPr>
        <w:t xml:space="preserve"> poprzez skrzynkę do e-Doręczeń</w:t>
      </w:r>
      <w:r w:rsidR="006E5272">
        <w:rPr>
          <w:rStyle w:val="Odwoanieprzypisudolnego"/>
          <w:rFonts w:ascii="Lato" w:hAnsi="Lato" w:cs="Times New Roman"/>
          <w:bCs/>
          <w:iCs/>
        </w:rPr>
        <w:footnoteReference w:id="5"/>
      </w:r>
      <w:r w:rsidRPr="00E4035F">
        <w:rPr>
          <w:rFonts w:ascii="Lato" w:hAnsi="Lato" w:cs="Times New Roman"/>
          <w:bCs/>
          <w:iCs/>
        </w:rPr>
        <w:t>.</w:t>
      </w:r>
      <w:r w:rsidR="004F6F6A">
        <w:rPr>
          <w:rFonts w:ascii="Lato" w:hAnsi="Lato" w:cs="Times New Roman"/>
          <w:bCs/>
          <w:iCs/>
        </w:rPr>
        <w:t xml:space="preserve"> </w:t>
      </w:r>
      <w:r w:rsidR="004F6F6A" w:rsidRPr="004F6F6A">
        <w:rPr>
          <w:rFonts w:ascii="Lato" w:hAnsi="Lato" w:cs="Times New Roman"/>
          <w:bCs/>
          <w:iCs/>
        </w:rPr>
        <w:t>Adres elektronicznej skrzynki podawczej, na który należy składać wnioski wstępne: /8tk37sxx6h/</w:t>
      </w:r>
      <w:proofErr w:type="spellStart"/>
      <w:r w:rsidR="004F6F6A" w:rsidRPr="004F6F6A">
        <w:rPr>
          <w:rFonts w:ascii="Lato" w:hAnsi="Lato" w:cs="Times New Roman"/>
          <w:bCs/>
          <w:iCs/>
        </w:rPr>
        <w:t>SkrytkaESP</w:t>
      </w:r>
      <w:proofErr w:type="spellEnd"/>
      <w:r w:rsidR="004F6F6A" w:rsidRPr="004F6F6A">
        <w:rPr>
          <w:rFonts w:ascii="Lato" w:hAnsi="Lato" w:cs="Times New Roman"/>
          <w:bCs/>
          <w:iCs/>
        </w:rPr>
        <w:t>.</w:t>
      </w:r>
      <w:r w:rsidR="004D4113">
        <w:rPr>
          <w:rFonts w:ascii="Lato" w:hAnsi="Lato" w:cs="Times New Roman"/>
          <w:bCs/>
          <w:iCs/>
        </w:rPr>
        <w:t xml:space="preserve"> </w:t>
      </w:r>
      <w:r w:rsidR="004D4113" w:rsidRPr="004D4113">
        <w:rPr>
          <w:rFonts w:ascii="Lato" w:hAnsi="Lato" w:cs="Times New Roman"/>
          <w:bCs/>
          <w:iCs/>
        </w:rPr>
        <w:t>Adres skrzynki do e-Doręczeń, na który należy składać wnioski wstępne: AE:PL-11185-96749-VHSCS-20.</w:t>
      </w:r>
    </w:p>
    <w:p w14:paraId="3E74562E" w14:textId="77777777" w:rsidR="007F2451" w:rsidRPr="00E4035F" w:rsidRDefault="007F2451" w:rsidP="007F2451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101AE8FF" w14:textId="4C84BB42" w:rsidR="007F2451" w:rsidRPr="00356BC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356BCF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3</w:t>
      </w:r>
      <w:r w:rsidRPr="00356BCF">
        <w:rPr>
          <w:rFonts w:ascii="Lato" w:eastAsiaTheme="minorHAnsi" w:hAnsi="Lato" w:cs="Times New Roman"/>
          <w:b/>
          <w:bCs/>
        </w:rPr>
        <w:t>.</w:t>
      </w:r>
    </w:p>
    <w:p w14:paraId="736940A5" w14:textId="7590FEF1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8630BC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</w:t>
      </w:r>
      <w:r w:rsidR="006E5272">
        <w:rPr>
          <w:rFonts w:ascii="Lato" w:eastAsiaTheme="minorHAnsi" w:hAnsi="Lato" w:cs="Times New Roman"/>
        </w:rPr>
        <w:t>złożenia przez Wnioskodawców</w:t>
      </w:r>
      <w:r w:rsidRPr="00E4035F">
        <w:rPr>
          <w:rFonts w:ascii="Lato" w:eastAsiaTheme="minorHAnsi" w:hAnsi="Lato" w:cs="Times New Roman"/>
        </w:rPr>
        <w:t xml:space="preserve"> </w:t>
      </w:r>
      <w:r w:rsidR="004F6F6A">
        <w:rPr>
          <w:rFonts w:ascii="Lato" w:eastAsiaTheme="minorHAnsi" w:hAnsi="Lato" w:cs="Times New Roman"/>
        </w:rPr>
        <w:t>w</w:t>
      </w:r>
      <w:r w:rsidRPr="00E4035F">
        <w:rPr>
          <w:rFonts w:ascii="Lato" w:eastAsiaTheme="minorHAnsi" w:hAnsi="Lato" w:cs="Times New Roman"/>
        </w:rPr>
        <w:t>niosków o objęcie przedsięwzięcia wsparciem</w:t>
      </w:r>
      <w:r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1 Systemu zachęt.</w:t>
      </w:r>
    </w:p>
    <w:p w14:paraId="27E1FB1F" w14:textId="7777777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Wzór wniosku o objęcie przedsięwzięcia wsparciem</w:t>
      </w:r>
      <w:r>
        <w:rPr>
          <w:rFonts w:ascii="Lato" w:hAnsi="Lato" w:cs="Times New Roman"/>
          <w:bCs/>
          <w:iCs/>
        </w:rPr>
        <w:t>, wygenerowany z systemu CST2021,</w:t>
      </w:r>
      <w:r w:rsidRPr="00E4035F">
        <w:rPr>
          <w:rFonts w:ascii="Lato" w:hAnsi="Lato" w:cs="Times New Roman"/>
          <w:bCs/>
          <w:iCs/>
        </w:rPr>
        <w:t xml:space="preserve"> stanowi </w:t>
      </w:r>
      <w:r>
        <w:rPr>
          <w:rFonts w:ascii="Lato" w:hAnsi="Lato" w:cs="Times New Roman"/>
          <w:b/>
          <w:iCs/>
        </w:rPr>
        <w:t>z</w:t>
      </w:r>
      <w:r w:rsidRPr="00CF115E">
        <w:rPr>
          <w:rFonts w:ascii="Lato" w:hAnsi="Lato" w:cs="Times New Roman"/>
          <w:b/>
          <w:iCs/>
        </w:rPr>
        <w:t>ałącznik nr 3</w:t>
      </w:r>
      <w:r w:rsidRPr="00E4035F">
        <w:rPr>
          <w:rFonts w:ascii="Lato" w:hAnsi="Lato" w:cs="Times New Roman"/>
          <w:bCs/>
          <w:iCs/>
        </w:rPr>
        <w:t xml:space="preserve"> do Regulaminu.</w:t>
      </w:r>
    </w:p>
    <w:p w14:paraId="236B8D6F" w14:textId="35B658E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9B01C2">
        <w:rPr>
          <w:rFonts w:ascii="Lato" w:hAnsi="Lato" w:cs="Times New Roman"/>
          <w:bCs/>
          <w:iCs/>
        </w:rPr>
        <w:t>Wnioskodawca składa wniosek o objęcie przedsięwzięcia wsparciem maksymalnie na liczbę stypendiów określonych przez ministra właściwego ds. zdrowia zgodnie z § 1</w:t>
      </w:r>
      <w:r w:rsidR="008529BF">
        <w:rPr>
          <w:rFonts w:ascii="Lato" w:hAnsi="Lato" w:cs="Times New Roman"/>
          <w:bCs/>
          <w:iCs/>
        </w:rPr>
        <w:t>2</w:t>
      </w:r>
      <w:r w:rsidRPr="009B01C2">
        <w:rPr>
          <w:rFonts w:ascii="Lato" w:hAnsi="Lato" w:cs="Times New Roman"/>
          <w:bCs/>
          <w:iCs/>
        </w:rPr>
        <w:t xml:space="preserve"> ust. 2</w:t>
      </w:r>
      <w:r>
        <w:rPr>
          <w:rFonts w:ascii="Lato" w:hAnsi="Lato" w:cs="Times New Roman"/>
          <w:bCs/>
          <w:iCs/>
        </w:rPr>
        <w:t>.</w:t>
      </w:r>
    </w:p>
    <w:p w14:paraId="701DA580" w14:textId="55B89915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zaakceptowanego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niosku o objęcie przedsięwzięcia wsparciem</w:t>
      </w:r>
      <w:r w:rsidR="00F32BBB">
        <w:rPr>
          <w:rFonts w:ascii="Lato" w:hAnsi="Lato" w:cs="Times New Roman"/>
          <w:bCs/>
          <w:iCs/>
        </w:rPr>
        <w:t xml:space="preserve"> IOI</w:t>
      </w:r>
      <w:r w:rsidRPr="00E4035F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>zawiera</w:t>
      </w:r>
      <w:r w:rsidRPr="00E4035F">
        <w:rPr>
          <w:rFonts w:ascii="Lato" w:hAnsi="Lato" w:cs="Times New Roman"/>
          <w:bCs/>
          <w:iCs/>
        </w:rPr>
        <w:t xml:space="preserve"> z uczelnią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 o objęcie przedsięwzięcia wsparciem, która opiewa na wnioskowaną liczbę stypendiów.</w:t>
      </w:r>
    </w:p>
    <w:p w14:paraId="3C6318F6" w14:textId="1154714E" w:rsidR="007F2451" w:rsidRPr="00DB40B7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 xml:space="preserve">mowy o objęcie przedsięwzięcia wsparciem, o której mowa w </w:t>
      </w:r>
      <w:r>
        <w:rPr>
          <w:rFonts w:ascii="Lato" w:hAnsi="Lato" w:cs="Times New Roman"/>
          <w:bCs/>
          <w:iCs/>
        </w:rPr>
        <w:t>ust.</w:t>
      </w:r>
      <w:r w:rsidRPr="00E4035F">
        <w:rPr>
          <w:rFonts w:ascii="Lato" w:hAnsi="Lato" w:cs="Times New Roman"/>
          <w:bCs/>
          <w:iCs/>
        </w:rPr>
        <w:t xml:space="preserve"> </w:t>
      </w:r>
      <w:r w:rsidR="006A1443">
        <w:rPr>
          <w:rFonts w:ascii="Lato" w:hAnsi="Lato" w:cs="Times New Roman"/>
          <w:bCs/>
          <w:iCs/>
        </w:rPr>
        <w:t>4</w:t>
      </w:r>
      <w:r w:rsidRPr="00E4035F">
        <w:rPr>
          <w:rFonts w:ascii="Lato" w:hAnsi="Lato" w:cs="Times New Roman"/>
          <w:bCs/>
          <w:iCs/>
        </w:rPr>
        <w:t>, uczelnia przeprowadza proces przyznawania stypendiów w oparciu o uchwalony przez siebie Regulamin stypendiów, zgodnie z zapisami zawartymi w opisie Działania 1 Systemu zachęt.</w:t>
      </w:r>
    </w:p>
    <w:p w14:paraId="6E73E1BC" w14:textId="717888BE" w:rsidR="00A23646" w:rsidRPr="00DB40B7" w:rsidRDefault="00A23646" w:rsidP="00DB40B7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Wnioskodawca po podpisaniu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 staje się Ostatecznym odbiorcą wsparcia.  </w:t>
      </w:r>
    </w:p>
    <w:p w14:paraId="3C375F04" w14:textId="77777777" w:rsidR="00D82647" w:rsidRPr="00A759C1" w:rsidRDefault="00D82647" w:rsidP="00A759C1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420A2EF7" w14:textId="5E46F81E" w:rsidR="004C1367" w:rsidRPr="00E4035F" w:rsidRDefault="004C1367" w:rsidP="004C136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15840749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27"/>
    </w:p>
    <w:p w14:paraId="1BB887CF" w14:textId="5DBB6A0D" w:rsidR="004C1367" w:rsidRPr="00E4035F" w:rsidRDefault="004C1367" w:rsidP="004C136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8529BF"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  <w:b/>
          <w:bCs/>
        </w:rPr>
        <w:t>.</w:t>
      </w:r>
    </w:p>
    <w:p w14:paraId="113ECE05" w14:textId="0FA3AC0A" w:rsidR="004C1367" w:rsidRDefault="006E5272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485C61" w:rsidRPr="00FC7796">
        <w:rPr>
          <w:rFonts w:ascii="Lato" w:hAnsi="Lato" w:cs="Times New Roman"/>
          <w:bCs/>
        </w:rPr>
        <w:t>okumentacj</w:t>
      </w:r>
      <w:r w:rsidR="00CB3B63" w:rsidRPr="00FC7796">
        <w:rPr>
          <w:rFonts w:ascii="Lato" w:hAnsi="Lato" w:cs="Times New Roman"/>
          <w:bCs/>
        </w:rPr>
        <w:t>ę</w:t>
      </w:r>
      <w:r w:rsidR="00485C61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>aplikacyjną</w:t>
      </w:r>
      <w:r w:rsidR="004C1367" w:rsidRPr="00E4035F">
        <w:rPr>
          <w:rFonts w:ascii="Lato" w:hAnsi="Lato" w:cs="Times New Roman"/>
        </w:rPr>
        <w:t xml:space="preserve"> należy </w:t>
      </w:r>
      <w:r>
        <w:rPr>
          <w:rFonts w:ascii="Lato" w:hAnsi="Lato" w:cs="Times New Roman"/>
        </w:rPr>
        <w:t xml:space="preserve">rozumieć wniosek </w:t>
      </w:r>
      <w:r w:rsidR="004E379E">
        <w:rPr>
          <w:rFonts w:ascii="Lato" w:hAnsi="Lato" w:cs="Times New Roman"/>
        </w:rPr>
        <w:t xml:space="preserve">o objęcie przedsięwzięcia wsparciem wraz z załącznikami, o których mowa w ust. 2. Dokumentację aplikacyjną należy </w:t>
      </w:r>
      <w:r w:rsidR="004C1367" w:rsidRPr="00E4035F">
        <w:rPr>
          <w:rFonts w:ascii="Lato" w:hAnsi="Lato" w:cs="Times New Roman"/>
        </w:rPr>
        <w:t>sporządzić w języku polskim.</w:t>
      </w:r>
    </w:p>
    <w:p w14:paraId="317243A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79AFD9F" w14:textId="25D5AB9F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 xml:space="preserve">Do </w:t>
      </w:r>
      <w:r w:rsidR="004F6F6A">
        <w:rPr>
          <w:rFonts w:ascii="Lato" w:hAnsi="Lato" w:cs="Times New Roman"/>
          <w:bCs/>
        </w:rPr>
        <w:t>w</w:t>
      </w:r>
      <w:r w:rsidRPr="00E4035F">
        <w:rPr>
          <w:rFonts w:ascii="Lato" w:hAnsi="Lato" w:cs="Times New Roman"/>
          <w:bCs/>
        </w:rPr>
        <w:t xml:space="preserve">niosku o </w:t>
      </w:r>
      <w:r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należy załączyć</w:t>
      </w:r>
      <w:r w:rsidR="00A04F4F"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 xml:space="preserve">oświadczenia, sporządzone zgodnie ze wzorami stanowiącymi załączniki 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>do Regulaminu</w:t>
      </w:r>
      <w:r>
        <w:rPr>
          <w:rFonts w:ascii="Lato" w:hAnsi="Lato" w:cs="Times New Roman"/>
          <w:bCs/>
        </w:rPr>
        <w:t>:</w:t>
      </w:r>
    </w:p>
    <w:p w14:paraId="600071F6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Pr="009F461F">
        <w:rPr>
          <w:rFonts w:ascii="Lato" w:hAnsi="Lato" w:cs="Times New Roman"/>
          <w:bCs/>
        </w:rPr>
        <w:t>zór oświadczenia o braku negatywnej oceny jakości kształcenia przeprowadzonej przez Polską Komisję Akredytacyjną</w:t>
      </w:r>
      <w:r>
        <w:rPr>
          <w:rFonts w:ascii="Lato" w:hAnsi="Lato" w:cs="Times New Roman"/>
          <w:bCs/>
        </w:rPr>
        <w:t xml:space="preserve"> – </w:t>
      </w:r>
      <w:r w:rsidRPr="000E3344">
        <w:rPr>
          <w:rFonts w:ascii="Lato" w:hAnsi="Lato" w:cs="Times New Roman"/>
          <w:b/>
        </w:rPr>
        <w:t>załącznik nr 6</w:t>
      </w:r>
      <w:r>
        <w:rPr>
          <w:rFonts w:ascii="Lato" w:hAnsi="Lato" w:cs="Times New Roman"/>
          <w:bCs/>
        </w:rPr>
        <w:t xml:space="preserve">, </w:t>
      </w:r>
    </w:p>
    <w:p w14:paraId="0C20C2DC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o braku postawienia uczelni w stan likwidacji – </w:t>
      </w:r>
      <w:r w:rsidRPr="00FB6952">
        <w:rPr>
          <w:rFonts w:ascii="Lato" w:hAnsi="Lato" w:cs="Times New Roman"/>
          <w:b/>
        </w:rPr>
        <w:t>załącznik nr 7</w:t>
      </w:r>
      <w:r w:rsidRPr="00FB6952">
        <w:rPr>
          <w:rFonts w:ascii="Lato" w:hAnsi="Lato" w:cs="Times New Roman"/>
          <w:bCs/>
        </w:rPr>
        <w:t xml:space="preserve">, </w:t>
      </w:r>
    </w:p>
    <w:p w14:paraId="5FE03941" w14:textId="1C390299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w zakresie uprawnienia </w:t>
      </w:r>
      <w:r w:rsidR="004A6979">
        <w:rPr>
          <w:rFonts w:ascii="Lato" w:hAnsi="Lato" w:cs="Times New Roman"/>
          <w:bCs/>
        </w:rPr>
        <w:t>d</w:t>
      </w:r>
      <w:r w:rsidRPr="00FB6952">
        <w:rPr>
          <w:rFonts w:ascii="Lato" w:hAnsi="Lato" w:cs="Times New Roman"/>
          <w:bCs/>
        </w:rPr>
        <w:t>o ubiegani</w:t>
      </w:r>
      <w:r w:rsidR="004A6979">
        <w:rPr>
          <w:rFonts w:ascii="Lato" w:hAnsi="Lato" w:cs="Times New Roman"/>
          <w:bCs/>
        </w:rPr>
        <w:t>a</w:t>
      </w:r>
      <w:r w:rsidRPr="00FB6952">
        <w:rPr>
          <w:rFonts w:ascii="Lato" w:hAnsi="Lato" w:cs="Times New Roman"/>
          <w:bCs/>
        </w:rPr>
        <w:t xml:space="preserve"> o wsparcie – </w:t>
      </w:r>
      <w:r w:rsidRPr="00FB6952">
        <w:rPr>
          <w:rFonts w:ascii="Lato" w:hAnsi="Lato" w:cs="Times New Roman"/>
          <w:b/>
        </w:rPr>
        <w:t>załącznik nr 8</w:t>
      </w:r>
      <w:r w:rsidRPr="00FB6952">
        <w:rPr>
          <w:rFonts w:ascii="Lato" w:hAnsi="Lato" w:cs="Times New Roman"/>
          <w:bCs/>
        </w:rPr>
        <w:t xml:space="preserve">, </w:t>
      </w:r>
    </w:p>
    <w:p w14:paraId="38014975" w14:textId="36CFF90C" w:rsidR="004C1367" w:rsidRPr="003B597E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CF115E">
        <w:rPr>
          <w:rFonts w:ascii="Lato" w:hAnsi="Lato" w:cs="Times New Roman"/>
          <w:bCs/>
        </w:rPr>
        <w:t xml:space="preserve">wzór oświadczenia o braku podwójnego finansowania – </w:t>
      </w:r>
      <w:r w:rsidRPr="00CF115E">
        <w:rPr>
          <w:rFonts w:ascii="Lato" w:hAnsi="Lato" w:cs="Times New Roman"/>
          <w:b/>
        </w:rPr>
        <w:t>załącznik nr 9</w:t>
      </w:r>
    </w:p>
    <w:p w14:paraId="06EEE883" w14:textId="77777777" w:rsidR="00485C61" w:rsidRDefault="00166B8C" w:rsidP="00166B8C">
      <w:pPr>
        <w:pStyle w:val="Akapitzlist"/>
        <w:spacing w:before="120" w:line="276" w:lineRule="auto"/>
        <w:ind w:left="1080"/>
        <w:jc w:val="both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oraz </w:t>
      </w:r>
    </w:p>
    <w:p w14:paraId="3B369F66" w14:textId="262BB542" w:rsidR="00166B8C" w:rsidRPr="002B29E2" w:rsidRDefault="004F6F6A" w:rsidP="00355D38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Open Sans"/>
          <w:color w:val="000000"/>
          <w:shd w:val="clear" w:color="auto" w:fill="FFFFFF"/>
        </w:rPr>
      </w:pPr>
      <w:r w:rsidRPr="002B29E2">
        <w:rPr>
          <w:rFonts w:ascii="Lato" w:hAnsi="Lato" w:cs="Open Sans"/>
          <w:color w:val="000000"/>
          <w:shd w:val="clear" w:color="auto" w:fill="FFFFFF"/>
        </w:rPr>
        <w:t>r</w:t>
      </w:r>
      <w:r w:rsidR="00166B8C" w:rsidRPr="002B29E2">
        <w:rPr>
          <w:rFonts w:ascii="Lato" w:hAnsi="Lato" w:cs="Open Sans"/>
          <w:color w:val="000000"/>
          <w:shd w:val="clear" w:color="auto" w:fill="FFFFFF"/>
        </w:rPr>
        <w:t>egulamin stypendiów w ramach Systemu zachęt</w:t>
      </w:r>
      <w:r w:rsidR="002B29E2" w:rsidRPr="002B29E2">
        <w:rPr>
          <w:rFonts w:ascii="Lato" w:hAnsi="Lato" w:cs="Open Sans"/>
          <w:color w:val="000000"/>
          <w:shd w:val="clear" w:color="auto" w:fill="FFFFFF"/>
        </w:rPr>
        <w:t>,</w:t>
      </w:r>
    </w:p>
    <w:p w14:paraId="3CF6A2F7" w14:textId="4BF5E3FF" w:rsidR="00485C61" w:rsidRPr="002B29E2" w:rsidRDefault="004F6F6A" w:rsidP="00485C61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2B29E2">
        <w:rPr>
          <w:rFonts w:ascii="Lato" w:hAnsi="Lato" w:cs="Times New Roman"/>
          <w:bCs/>
        </w:rPr>
        <w:t xml:space="preserve">dokument potwierdzający umocowanie osoby składającej wniosek o objęcie </w:t>
      </w:r>
      <w:r w:rsidR="004E379E">
        <w:rPr>
          <w:rFonts w:ascii="Lato" w:hAnsi="Lato" w:cs="Times New Roman"/>
          <w:bCs/>
        </w:rPr>
        <w:t xml:space="preserve">przedsięwzięcia </w:t>
      </w:r>
      <w:r w:rsidRPr="002B29E2">
        <w:rPr>
          <w:rFonts w:ascii="Lato" w:hAnsi="Lato" w:cs="Times New Roman"/>
          <w:bCs/>
        </w:rPr>
        <w:t>wsparciem do reprezentowania Wnioskodawcy</w:t>
      </w:r>
      <w:r w:rsidR="004E379E">
        <w:rPr>
          <w:rFonts w:ascii="Lato" w:hAnsi="Lato" w:cs="Times New Roman"/>
          <w:bCs/>
        </w:rPr>
        <w:t xml:space="preserve"> (Rektora)</w:t>
      </w:r>
      <w:r w:rsidR="004E379E" w:rsidRPr="004E379E">
        <w:rPr>
          <w:rFonts w:ascii="Lato" w:hAnsi="Lato" w:cs="Times New Roman"/>
          <w:bCs/>
        </w:rPr>
        <w:t xml:space="preserve"> lub osobę przez niego umocowaną do złożenia wniosku o objecie przedsięwzięcia wsparciem</w:t>
      </w:r>
      <w:r w:rsidR="004E379E">
        <w:rPr>
          <w:rFonts w:ascii="Lato" w:hAnsi="Lato" w:cs="Times New Roman"/>
          <w:bCs/>
        </w:rPr>
        <w:t xml:space="preserve"> </w:t>
      </w:r>
      <w:r w:rsidR="002B29E2" w:rsidRPr="002B29E2">
        <w:rPr>
          <w:rFonts w:ascii="Lato" w:hAnsi="Lato" w:cs="Times New Roman"/>
          <w:bCs/>
        </w:rPr>
        <w:t>.</w:t>
      </w:r>
    </w:p>
    <w:p w14:paraId="246BD4FD" w14:textId="1E913EFE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bCs/>
          <w:sz w:val="6"/>
          <w:szCs w:val="6"/>
        </w:rPr>
      </w:pPr>
    </w:p>
    <w:p w14:paraId="30711BE1" w14:textId="75B22F22" w:rsidR="004F6F6A" w:rsidRPr="00CC0F5A" w:rsidRDefault="00C20DCD" w:rsidP="00355D38">
      <w:pPr>
        <w:pStyle w:val="Akapitzlist"/>
        <w:numPr>
          <w:ilvl w:val="1"/>
          <w:numId w:val="19"/>
        </w:numPr>
        <w:spacing w:line="276" w:lineRule="auto"/>
        <w:jc w:val="both"/>
      </w:pPr>
      <w:r w:rsidRPr="00FC7796">
        <w:rPr>
          <w:rFonts w:ascii="Lato" w:hAnsi="Lato" w:cs="Times New Roman"/>
        </w:rPr>
        <w:t>Dokumentację aplikacyjną</w:t>
      </w:r>
      <w:r w:rsidR="00A04F4F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 xml:space="preserve">należy złożyć w terminie określonym w § </w:t>
      </w:r>
      <w:r w:rsidR="00C25434" w:rsidRPr="00FC7796">
        <w:rPr>
          <w:rFonts w:ascii="Lato" w:hAnsi="Lato" w:cs="Times New Roman"/>
        </w:rPr>
        <w:t>6</w:t>
      </w:r>
      <w:r w:rsidR="004C1367" w:rsidRPr="00FC7796">
        <w:rPr>
          <w:rFonts w:ascii="Lato" w:hAnsi="Lato" w:cs="Times New Roman"/>
        </w:rPr>
        <w:t xml:space="preserve"> ust. 2.</w:t>
      </w:r>
    </w:p>
    <w:p w14:paraId="423B3D79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44B5766" w14:textId="77777777" w:rsidR="00CC0F5A" w:rsidRPr="00CC0F5A" w:rsidRDefault="00CC0F5A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Lato" w:hAnsi="Lato"/>
        </w:rPr>
        <w:t>Dokumentacja aplikacyjna</w:t>
      </w:r>
      <w:r w:rsidR="004C1367" w:rsidRPr="00355D38">
        <w:rPr>
          <w:rFonts w:ascii="Lato" w:hAnsi="Lato"/>
        </w:rPr>
        <w:t xml:space="preserve">, o </w:t>
      </w:r>
      <w:r w:rsidR="004C0194" w:rsidRPr="00355D38">
        <w:rPr>
          <w:rFonts w:ascii="Lato" w:hAnsi="Lato"/>
        </w:rPr>
        <w:t>któr</w:t>
      </w:r>
      <w:r>
        <w:rPr>
          <w:rFonts w:ascii="Lato" w:hAnsi="Lato"/>
        </w:rPr>
        <w:t>ej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 xml:space="preserve">mowa w ust. 1 może zostać </w:t>
      </w:r>
      <w:r w:rsidR="00212B34" w:rsidRPr="00355D38">
        <w:rPr>
          <w:rFonts w:ascii="Lato" w:hAnsi="Lato"/>
        </w:rPr>
        <w:t>przekazan</w:t>
      </w:r>
      <w:r>
        <w:rPr>
          <w:rFonts w:ascii="Lato" w:hAnsi="Lato"/>
        </w:rPr>
        <w:t>a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>do IOI wyłącznie w postaci dokumentu elektronicznego za pośrednictwem CST2021.</w:t>
      </w:r>
      <w:r w:rsidR="0060118E" w:rsidRPr="00355D38">
        <w:rPr>
          <w:rFonts w:ascii="Lato" w:hAnsi="Lato"/>
        </w:rPr>
        <w:t xml:space="preserve"> </w:t>
      </w:r>
    </w:p>
    <w:p w14:paraId="260721F6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1F17B98C" w14:textId="4DCB702E" w:rsidR="004C1367" w:rsidRPr="00CC0F5A" w:rsidRDefault="00075447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 w:rsidRPr="00075447">
        <w:rPr>
          <w:rFonts w:ascii="Lato" w:hAnsi="Lato"/>
        </w:rPr>
        <w:t xml:space="preserve">Wszystkie załączniki do wniosku oraz inne dokumenty wymagające podpisu </w:t>
      </w:r>
      <w:r w:rsidR="004D4113">
        <w:rPr>
          <w:rFonts w:ascii="Lato" w:hAnsi="Lato"/>
        </w:rPr>
        <w:t>Wnioskodawcy</w:t>
      </w:r>
      <w:r w:rsidRPr="00075447">
        <w:rPr>
          <w:rFonts w:ascii="Lato" w:hAnsi="Lato"/>
        </w:rPr>
        <w:t xml:space="preserve"> należy podpisać kwalifikowanym podpisem elektronicznym, przez osobę uprawnioną do reprezentowania uczelni. Wszystkie załączniki do Wniosku oraz inne dokumenty wymagające podpisu W</w:t>
      </w:r>
      <w:r w:rsidR="004D4113">
        <w:rPr>
          <w:rFonts w:ascii="Lato" w:hAnsi="Lato"/>
        </w:rPr>
        <w:t>nioskodawcy</w:t>
      </w:r>
      <w:r w:rsidRPr="00075447">
        <w:rPr>
          <w:rFonts w:ascii="Lato" w:hAnsi="Lato"/>
        </w:rPr>
        <w:t xml:space="preserve"> należy podpisać kwalifikowanym podpisem elektronicznym</w:t>
      </w:r>
      <w:r w:rsidR="00D82647">
        <w:rPr>
          <w:rFonts w:ascii="Lato" w:hAnsi="Lato"/>
        </w:rPr>
        <w:t>.</w:t>
      </w:r>
    </w:p>
    <w:p w14:paraId="445FBD5E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C35F9BC" w14:textId="66C294B2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</w:rPr>
        <w:t>Wniosek</w:t>
      </w:r>
      <w:r w:rsidR="00E27F88">
        <w:rPr>
          <w:rFonts w:ascii="Lato" w:hAnsi="Lato" w:cs="Times New Roman"/>
        </w:rPr>
        <w:t xml:space="preserve"> o objęcie </w:t>
      </w:r>
      <w:r w:rsidR="004F6F6A">
        <w:rPr>
          <w:rFonts w:ascii="Lato" w:hAnsi="Lato" w:cs="Times New Roman"/>
        </w:rPr>
        <w:t xml:space="preserve">przedsięwzięcia </w:t>
      </w:r>
      <w:r w:rsidR="00E27F88">
        <w:rPr>
          <w:rFonts w:ascii="Lato" w:hAnsi="Lato" w:cs="Times New Roman"/>
        </w:rPr>
        <w:t>wsparciem</w:t>
      </w:r>
      <w:r w:rsidRPr="001420E7">
        <w:rPr>
          <w:rFonts w:ascii="Lato" w:hAnsi="Lato" w:cs="Times New Roman"/>
        </w:rPr>
        <w:t xml:space="preserve"> </w:t>
      </w:r>
      <w:r w:rsidR="004F6F6A">
        <w:rPr>
          <w:rFonts w:ascii="Lato" w:hAnsi="Lato" w:cs="Times New Roman"/>
        </w:rPr>
        <w:t xml:space="preserve">wraz z załącznikami </w:t>
      </w:r>
      <w:r w:rsidRPr="001420E7">
        <w:rPr>
          <w:rFonts w:ascii="Lato" w:hAnsi="Lato" w:cs="Times New Roman"/>
        </w:rPr>
        <w:t xml:space="preserve">należy sporządzić z należytą starannością tak aby </w:t>
      </w:r>
      <w:r w:rsidR="00075447">
        <w:rPr>
          <w:rFonts w:ascii="Lato" w:hAnsi="Lato" w:cs="Times New Roman"/>
        </w:rPr>
        <w:t xml:space="preserve">był kompletny i </w:t>
      </w:r>
      <w:r w:rsidRPr="001420E7">
        <w:rPr>
          <w:rFonts w:ascii="Lato" w:hAnsi="Lato" w:cs="Times New Roman"/>
        </w:rPr>
        <w:t>nie zawierał oczywistych omyłek pisarskich i błędów rachunkowych.</w:t>
      </w:r>
      <w:r w:rsidR="00075447">
        <w:rPr>
          <w:rFonts w:ascii="Lato" w:hAnsi="Lato" w:cs="Times New Roman"/>
        </w:rPr>
        <w:t xml:space="preserve"> </w:t>
      </w:r>
    </w:p>
    <w:p w14:paraId="6DBAA53E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C6236C8" w14:textId="67BEBB14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Za skuteczne złożenie dokumentacji </w:t>
      </w:r>
      <w:r w:rsidR="00E27F88">
        <w:rPr>
          <w:rFonts w:ascii="Lato" w:hAnsi="Lato"/>
        </w:rPr>
        <w:t>aplikacyjnej w</w:t>
      </w:r>
      <w:r w:rsidRPr="001420E7">
        <w:rPr>
          <w:rFonts w:ascii="Lato" w:hAnsi="Lato"/>
        </w:rPr>
        <w:t xml:space="preserve"> toku procedury ubiegania się o wsparcie, w tym </w:t>
      </w:r>
      <w:r w:rsidR="004F6F6A">
        <w:rPr>
          <w:rFonts w:ascii="Lato" w:hAnsi="Lato"/>
        </w:rPr>
        <w:t>w</w:t>
      </w:r>
      <w:r w:rsidRPr="001420E7">
        <w:rPr>
          <w:rFonts w:ascii="Lato" w:hAnsi="Lato"/>
        </w:rPr>
        <w:t xml:space="preserve">niosku o objęcie przedsięwzięcia wsparciem oraz załączników, odpowiedzialność ponosi Wnioskodawca. </w:t>
      </w:r>
    </w:p>
    <w:p w14:paraId="4EDC68DA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8AF56FF" w14:textId="6D056BA3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aplikacyjnej do upływu okresu wskazanego w </w:t>
      </w:r>
      <w:r>
        <w:rPr>
          <w:rFonts w:ascii="Lato" w:hAnsi="Lato"/>
        </w:rPr>
        <w:t>§</w:t>
      </w:r>
      <w:r w:rsidR="006B4A98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13 ust. 2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mowy</w:t>
      </w:r>
      <w:r>
        <w:rPr>
          <w:rFonts w:ascii="Lato" w:hAnsi="Lato"/>
        </w:rPr>
        <w:t xml:space="preserve"> o objęcie przedsięwzięcia wsparciem</w:t>
      </w:r>
      <w:r w:rsidRPr="00E4035F">
        <w:rPr>
          <w:rFonts w:ascii="Lato" w:hAnsi="Lato"/>
        </w:rPr>
        <w:t>.</w:t>
      </w:r>
    </w:p>
    <w:p w14:paraId="79A972BD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A3B178" w14:textId="4E739C5C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</w:t>
      </w:r>
      <w:r>
        <w:rPr>
          <w:rFonts w:ascii="Lato" w:hAnsi="Lato" w:cs="Times New Roman"/>
        </w:rPr>
        <w:t>, stanowiąc</w:t>
      </w:r>
      <w:r w:rsidR="00075447">
        <w:rPr>
          <w:rFonts w:ascii="Lato" w:hAnsi="Lato" w:cs="Times New Roman"/>
        </w:rPr>
        <w:t>y</w:t>
      </w:r>
      <w:r>
        <w:rPr>
          <w:rFonts w:ascii="Lato" w:hAnsi="Lato" w:cs="Times New Roman"/>
        </w:rPr>
        <w:t xml:space="preserve"> </w:t>
      </w:r>
      <w:r w:rsidRPr="000E3344">
        <w:rPr>
          <w:rFonts w:ascii="Lato" w:hAnsi="Lato" w:cs="Times New Roman"/>
          <w:b/>
          <w:bCs/>
        </w:rPr>
        <w:t xml:space="preserve">załącznik nr </w:t>
      </w:r>
      <w:r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</w:rPr>
        <w:t xml:space="preserve"> do Regulaminu</w:t>
      </w:r>
      <w:r w:rsidRPr="00E4035F">
        <w:rPr>
          <w:rFonts w:ascii="Lato" w:hAnsi="Lato" w:cs="Times New Roman"/>
        </w:rPr>
        <w:t>).</w:t>
      </w:r>
    </w:p>
    <w:p w14:paraId="46DC4FB0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8"/>
          <w:szCs w:val="8"/>
        </w:rPr>
      </w:pPr>
    </w:p>
    <w:p w14:paraId="0CE9FFF6" w14:textId="77777777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  <w:bCs/>
        </w:rPr>
        <w:t>Członkami</w:t>
      </w:r>
      <w:r w:rsidRPr="001420E7">
        <w:rPr>
          <w:rFonts w:ascii="Lato" w:hAnsi="Lato" w:cs="Times New Roman"/>
        </w:rPr>
        <w:t xml:space="preserve"> KOP </w:t>
      </w:r>
      <w:r w:rsidRPr="001420E7">
        <w:rPr>
          <w:rFonts w:ascii="Lato" w:hAnsi="Lato" w:cs="Times New Roman"/>
          <w:color w:val="000000"/>
        </w:rPr>
        <w:t>są</w:t>
      </w:r>
      <w:r w:rsidRPr="001420E7">
        <w:rPr>
          <w:rFonts w:ascii="Lato" w:hAnsi="Lato" w:cs="Times New Roman"/>
        </w:rPr>
        <w:t xml:space="preserve"> pracownicy  Ministerstwa Zdrowia, którzy są wybierani przez IOI.</w:t>
      </w:r>
    </w:p>
    <w:p w14:paraId="080D3ED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F314420" w14:textId="396093E1" w:rsidR="004C1367" w:rsidRDefault="004F6F6A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28" w:name="_Hlk167888873"/>
      <w:r w:rsidRPr="004F6F6A">
        <w:rPr>
          <w:rFonts w:ascii="Lato" w:hAnsi="Lato" w:cs="Times New Roman"/>
        </w:rPr>
        <w:t>Warunki formalne brane pod uwagę przy ocenie przedsięwzięcia  przez  KOP określone są w ust. od 1 do 7.</w:t>
      </w:r>
      <w:bookmarkEnd w:id="28"/>
    </w:p>
    <w:p w14:paraId="200F8766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CA0CA1" w14:textId="77777777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1420E7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78533548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B2FFF39" w14:textId="77777777" w:rsidR="004C1367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>
        <w:rPr>
          <w:rFonts w:ascii="Lato" w:eastAsia="Times New Roman" w:hAnsi="Lato" w:cs="Times New Roman"/>
          <w:lang w:eastAsia="en-US"/>
        </w:rPr>
        <w:t>Warunki formalne,</w:t>
      </w:r>
    </w:p>
    <w:p w14:paraId="6B5EEF1E" w14:textId="77777777" w:rsidR="004C1367" w:rsidRPr="00E4035F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horyzontalne,</w:t>
      </w:r>
    </w:p>
    <w:p w14:paraId="47BD2E8E" w14:textId="7A79C093" w:rsidR="00424D50" w:rsidRPr="00424D50" w:rsidRDefault="004C1367" w:rsidP="00424D50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BCCFD71" w14:textId="77777777" w:rsidR="004C1367" w:rsidRPr="00F553D0" w:rsidRDefault="004C1367" w:rsidP="004C1367">
      <w:pPr>
        <w:tabs>
          <w:tab w:val="left" w:pos="426"/>
        </w:tabs>
        <w:spacing w:line="276" w:lineRule="auto"/>
        <w:ind w:left="42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58C9AA27" w14:textId="7AC5727C" w:rsidR="00424D50" w:rsidRPr="000754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bookmarkStart w:id="29" w:name="_Hlk155346099"/>
      <w:r w:rsidRPr="00E4035F">
        <w:rPr>
          <w:rFonts w:ascii="Lato" w:hAnsi="Lato" w:cs="Times New Roman"/>
          <w:bCs/>
        </w:rPr>
        <w:t>Ocena</w:t>
      </w:r>
      <w:r>
        <w:rPr>
          <w:rFonts w:ascii="Lato" w:hAnsi="Lato" w:cs="Times New Roman"/>
          <w:bCs/>
        </w:rPr>
        <w:t xml:space="preserve"> spełnienia warunków formalnych a także ocena</w:t>
      </w:r>
      <w:r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oparciu o kryteria horyzontalne i szczegółowe </w:t>
      </w:r>
      <w:r w:rsidRPr="00E4035F">
        <w:rPr>
          <w:rFonts w:ascii="Lato" w:hAnsi="Lato" w:cs="Times New Roman"/>
        </w:rPr>
        <w:t>jest przeprowadzana w ciągu</w:t>
      </w:r>
      <w:r>
        <w:rPr>
          <w:rFonts w:ascii="Lato" w:hAnsi="Lato" w:cs="Times New Roman"/>
        </w:rPr>
        <w:t xml:space="preserve"> 60</w:t>
      </w:r>
      <w:r w:rsidRPr="00E4035F">
        <w:rPr>
          <w:rFonts w:ascii="Lato" w:hAnsi="Lato" w:cs="Times New Roman"/>
        </w:rPr>
        <w:t xml:space="preserve"> dni od daty </w:t>
      </w:r>
      <w:r>
        <w:rPr>
          <w:rFonts w:ascii="Lato" w:hAnsi="Lato" w:cs="Times New Roman"/>
        </w:rPr>
        <w:t>zakończenia naboru</w:t>
      </w:r>
      <w:r w:rsidRPr="00E4035F">
        <w:rPr>
          <w:rFonts w:ascii="Lato" w:hAnsi="Lato" w:cs="Times New Roman"/>
        </w:rPr>
        <w:t xml:space="preserve"> </w:t>
      </w:r>
      <w:r w:rsidR="00CC0F5A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</w:t>
      </w:r>
      <w:r>
        <w:rPr>
          <w:rFonts w:ascii="Lato" w:hAnsi="Lato" w:cs="Times New Roman"/>
        </w:rPr>
        <w:t>ów</w:t>
      </w:r>
      <w:r w:rsidRPr="00E4035F">
        <w:rPr>
          <w:rFonts w:ascii="Lato" w:hAnsi="Lato" w:cs="Times New Roman"/>
        </w:rPr>
        <w:t xml:space="preserve"> o </w:t>
      </w:r>
      <w:r w:rsidRPr="00E4035F">
        <w:rPr>
          <w:rFonts w:ascii="Lato" w:eastAsiaTheme="minorHAnsi" w:hAnsi="Lato" w:cs="Times New Roman"/>
        </w:rPr>
        <w:t>objęcie przedsięwzięcia wsparciem</w:t>
      </w:r>
      <w:r w:rsidRPr="00E4035F">
        <w:rPr>
          <w:rFonts w:ascii="Lato" w:hAnsi="Lato" w:cs="Times New Roman"/>
        </w:rPr>
        <w:t>.</w:t>
      </w:r>
      <w:r w:rsidR="00075447">
        <w:rPr>
          <w:rFonts w:ascii="Lato" w:hAnsi="Lato" w:cs="Times New Roman"/>
        </w:rPr>
        <w:t xml:space="preserve"> </w:t>
      </w:r>
      <w:bookmarkStart w:id="30" w:name="_Hlk200533150"/>
      <w:r w:rsidR="00075447" w:rsidRPr="00075447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30"/>
    </w:p>
    <w:p w14:paraId="2D97B66B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DE54DEB" w14:textId="303DF2ED" w:rsidR="00424D50" w:rsidRDefault="0072639C" w:rsidP="00424D50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72639C">
        <w:rPr>
          <w:rFonts w:ascii="Lato" w:hAnsi="Lato" w:cs="Times New Roman"/>
          <w:bCs/>
        </w:rPr>
        <w:t xml:space="preserve">Ocenie </w:t>
      </w:r>
      <w:r w:rsidR="00A36536">
        <w:rPr>
          <w:rFonts w:ascii="Lato" w:hAnsi="Lato" w:cs="Times New Roman"/>
          <w:bCs/>
        </w:rPr>
        <w:t xml:space="preserve">w oparciu o kryteria </w:t>
      </w:r>
      <w:r w:rsidR="00A36536" w:rsidRPr="0072639C">
        <w:rPr>
          <w:rFonts w:ascii="Lato" w:hAnsi="Lato" w:cs="Times New Roman"/>
          <w:bCs/>
        </w:rPr>
        <w:t>horyzontal</w:t>
      </w:r>
      <w:r w:rsidR="00A36536">
        <w:rPr>
          <w:rFonts w:ascii="Lato" w:hAnsi="Lato" w:cs="Times New Roman"/>
          <w:bCs/>
        </w:rPr>
        <w:t>ne</w:t>
      </w:r>
      <w:r w:rsidRPr="0072639C">
        <w:rPr>
          <w:rFonts w:ascii="Lato" w:hAnsi="Lato" w:cs="Times New Roman"/>
          <w:bCs/>
        </w:rPr>
        <w:t xml:space="preserve"> i szczegółowe podlegają wyłącznie </w:t>
      </w:r>
      <w:r w:rsidR="00B3040E">
        <w:rPr>
          <w:rFonts w:ascii="Lato" w:hAnsi="Lato" w:cs="Times New Roman"/>
          <w:bCs/>
        </w:rPr>
        <w:t>w</w:t>
      </w:r>
      <w:r w:rsidRPr="0072639C">
        <w:rPr>
          <w:rFonts w:ascii="Lato" w:hAnsi="Lato" w:cs="Times New Roman"/>
          <w:bCs/>
        </w:rPr>
        <w:t>nioski, które przeszły pozytywną ocenę warunków formalnych, o których mowa w</w:t>
      </w:r>
      <w:r w:rsidR="00A36536">
        <w:rPr>
          <w:rFonts w:ascii="Lato" w:hAnsi="Lato" w:cs="Times New Roman"/>
          <w:bCs/>
        </w:rPr>
        <w:t xml:space="preserve"> ust. 11</w:t>
      </w:r>
      <w:r w:rsidRPr="0072639C">
        <w:rPr>
          <w:rFonts w:ascii="Lato" w:hAnsi="Lato" w:cs="Times New Roman"/>
          <w:bCs/>
        </w:rPr>
        <w:t xml:space="preserve">. </w:t>
      </w:r>
      <w:r w:rsidRPr="0072639C">
        <w:rPr>
          <w:rFonts w:ascii="Lato" w:hAnsi="Lato" w:cs="Times New Roman"/>
          <w:b/>
          <w:bCs/>
        </w:rPr>
        <w:t>Ocena spełnienia warunków formalnych</w:t>
      </w:r>
      <w:r w:rsidRPr="0072639C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925B2C">
        <w:rPr>
          <w:rFonts w:ascii="Lato" w:hAnsi="Lato" w:cs="Times New Roman"/>
          <w:b/>
        </w:rPr>
        <w:t>warunku</w:t>
      </w:r>
      <w:r w:rsidRPr="0072639C">
        <w:rPr>
          <w:rFonts w:ascii="Lato" w:hAnsi="Lato" w:cs="Times New Roman"/>
          <w:bCs/>
        </w:rPr>
        <w:t>.</w:t>
      </w:r>
      <w:r w:rsidR="00325C56">
        <w:rPr>
          <w:rFonts w:ascii="Lato" w:hAnsi="Lato" w:cs="Times New Roman"/>
          <w:bCs/>
        </w:rPr>
        <w:t xml:space="preserve"> </w:t>
      </w:r>
      <w:bookmarkEnd w:id="29"/>
      <w:r w:rsidR="004C1367" w:rsidRPr="00925B2C">
        <w:rPr>
          <w:rFonts w:ascii="Lato" w:hAnsi="Lato" w:cs="Times New Roman"/>
          <w:b/>
        </w:rPr>
        <w:t xml:space="preserve">Ocena </w:t>
      </w:r>
      <w:r w:rsidR="00A36536" w:rsidRPr="00925B2C">
        <w:rPr>
          <w:rFonts w:ascii="Lato" w:hAnsi="Lato" w:cs="Times New Roman"/>
          <w:b/>
        </w:rPr>
        <w:t>w</w:t>
      </w:r>
      <w:r w:rsidR="00A36536">
        <w:rPr>
          <w:rFonts w:ascii="Lato" w:hAnsi="Lato" w:cs="Times New Roman"/>
        </w:rPr>
        <w:t xml:space="preserve"> </w:t>
      </w:r>
      <w:r w:rsidR="00A36536" w:rsidRPr="00925B2C">
        <w:rPr>
          <w:rFonts w:ascii="Lato" w:hAnsi="Lato" w:cs="Times New Roman"/>
          <w:b/>
          <w:bCs/>
        </w:rPr>
        <w:t>oparciu o kryteria horyzontalne i szczegółowe</w:t>
      </w:r>
      <w:r w:rsidR="00A36536">
        <w:rPr>
          <w:rFonts w:ascii="Lato" w:hAnsi="Lato" w:cs="Times New Roman"/>
        </w:rPr>
        <w:t xml:space="preserve"> </w:t>
      </w:r>
      <w:r w:rsidR="004C1367" w:rsidRPr="00E4035F">
        <w:rPr>
          <w:rFonts w:ascii="Lato" w:hAnsi="Lato" w:cs="Times New Roman"/>
        </w:rPr>
        <w:t xml:space="preserve">dokonywana jest w oparciu o </w:t>
      </w:r>
      <w:r w:rsidR="004C1367">
        <w:rPr>
          <w:rFonts w:ascii="Lato" w:hAnsi="Lato" w:cs="Times New Roman"/>
        </w:rPr>
        <w:t xml:space="preserve"> k</w:t>
      </w:r>
      <w:r w:rsidR="004C1367" w:rsidRPr="00E4035F">
        <w:rPr>
          <w:rFonts w:ascii="Lato" w:hAnsi="Lato" w:cs="Times New Roman"/>
        </w:rPr>
        <w:t xml:space="preserve">ryteria, o których mowa w </w:t>
      </w:r>
      <w:r w:rsidR="004C1367">
        <w:rPr>
          <w:rFonts w:ascii="Lato" w:hAnsi="Lato" w:cs="Times New Roman"/>
        </w:rPr>
        <w:t>ust</w:t>
      </w:r>
      <w:r w:rsidR="004C1367" w:rsidRPr="00E4035F">
        <w:rPr>
          <w:rFonts w:ascii="Lato" w:hAnsi="Lato" w:cs="Times New Roman"/>
        </w:rPr>
        <w:t xml:space="preserve">. </w:t>
      </w:r>
      <w:r w:rsidR="004C1367">
        <w:rPr>
          <w:rFonts w:ascii="Lato" w:hAnsi="Lato" w:cs="Times New Roman"/>
        </w:rPr>
        <w:t>12</w:t>
      </w:r>
      <w:r w:rsidR="004C1367" w:rsidRPr="00E4035F">
        <w:rPr>
          <w:rFonts w:ascii="Lato" w:hAnsi="Lato" w:cs="Times New Roman"/>
        </w:rPr>
        <w:t xml:space="preserve"> i przeprowadzana jest </w:t>
      </w:r>
      <w:r w:rsidR="00A36536">
        <w:rPr>
          <w:rFonts w:ascii="Lato" w:hAnsi="Lato" w:cs="Times New Roman"/>
        </w:rPr>
        <w:t xml:space="preserve">również </w:t>
      </w:r>
      <w:r w:rsidR="004C1367" w:rsidRPr="00E4035F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50375DE4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7CAFC1" w14:textId="14E9DDA1" w:rsidR="00B3040E" w:rsidRPr="00D826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Jeżeli chociaż</w:t>
      </w:r>
      <w:r>
        <w:rPr>
          <w:rFonts w:ascii="Lato" w:hAnsi="Lato" w:cs="Times New Roman"/>
        </w:rPr>
        <w:t xml:space="preserve"> jeden warunek formalny lub </w:t>
      </w:r>
      <w:r w:rsidRPr="00E4035F">
        <w:rPr>
          <w:rFonts w:ascii="Lato" w:hAnsi="Lato" w:cs="Times New Roman"/>
        </w:rPr>
        <w:t xml:space="preserve">jedno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ryterium nie jest spełnione</w:t>
      </w:r>
      <w:r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bądź w dokumentacji aplikacyjnej nie zostały zawarte informacje wystarczające do oceny przedsięwzięcia,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wzywany jest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pisemnie poprzez system CST2021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do przedstawienia wyjaśnień oraz do ewentualnej poprawy lub uzupełnienia </w:t>
      </w:r>
      <w:r>
        <w:rPr>
          <w:rFonts w:ascii="Lato" w:hAnsi="Lato" w:cs="Times New Roman"/>
        </w:rPr>
        <w:t xml:space="preserve">informacji zawartych w </w:t>
      </w:r>
      <w:r w:rsidRPr="00E4035F">
        <w:rPr>
          <w:rFonts w:ascii="Lato" w:hAnsi="Lato" w:cs="Times New Roman"/>
        </w:rPr>
        <w:t xml:space="preserve">dokumentacji aplikacyjnej, o ile </w:t>
      </w:r>
      <w:r>
        <w:rPr>
          <w:rFonts w:ascii="Lato" w:hAnsi="Lato" w:cs="Times New Roman"/>
        </w:rPr>
        <w:t xml:space="preserve">dokumentacja </w:t>
      </w:r>
      <w:r w:rsidR="00B3040E">
        <w:rPr>
          <w:rFonts w:ascii="Lato" w:hAnsi="Lato" w:cs="Times New Roman"/>
        </w:rPr>
        <w:t>ta</w:t>
      </w:r>
      <w:r w:rsidRPr="00E4035F">
        <w:rPr>
          <w:rFonts w:ascii="Lato" w:hAnsi="Lato" w:cs="Times New Roman"/>
        </w:rPr>
        <w:t xml:space="preserve"> w tym zakresie jest możliw</w:t>
      </w:r>
      <w:r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do poprawy.</w:t>
      </w:r>
      <w:r>
        <w:rPr>
          <w:rFonts w:ascii="Lato" w:hAnsi="Lato" w:cs="Times New Roman"/>
        </w:rPr>
        <w:t xml:space="preserve"> </w:t>
      </w:r>
      <w:r w:rsidRPr="002B29E2">
        <w:rPr>
          <w:rFonts w:ascii="Lato" w:hAnsi="Lato" w:cs="Times New Roman"/>
          <w:b/>
          <w:bCs/>
        </w:rPr>
        <w:t>Wnioskodawca może być wezwany do poprawy</w:t>
      </w:r>
      <w:r w:rsidR="0013005E" w:rsidRPr="002B29E2">
        <w:rPr>
          <w:rFonts w:ascii="Lato" w:hAnsi="Lato" w:cs="Times New Roman"/>
          <w:b/>
          <w:bCs/>
        </w:rPr>
        <w:t xml:space="preserve"> maksymalnie</w:t>
      </w:r>
      <w:r w:rsidRPr="002B29E2">
        <w:rPr>
          <w:rFonts w:ascii="Lato" w:hAnsi="Lato" w:cs="Times New Roman"/>
          <w:b/>
          <w:bCs/>
        </w:rPr>
        <w:t xml:space="preserve"> cztery razy</w:t>
      </w:r>
      <w:r w:rsidR="00075447">
        <w:rPr>
          <w:rFonts w:ascii="Lato" w:hAnsi="Lato" w:cs="Times New Roman"/>
          <w:b/>
          <w:bCs/>
        </w:rPr>
        <w:t xml:space="preserve"> </w:t>
      </w:r>
      <w:r w:rsidR="00075447" w:rsidRPr="00075447">
        <w:rPr>
          <w:rFonts w:ascii="Lato" w:hAnsi="Lato" w:cs="Times New Roman"/>
          <w:b/>
          <w:bCs/>
        </w:rPr>
        <w:t>(łącznie na etapie całej oceny wniosku złożonego poprzez CST2021).</w:t>
      </w:r>
    </w:p>
    <w:p w14:paraId="6BA089B3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4C791E" w14:textId="77777777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>
        <w:rPr>
          <w:rFonts w:ascii="Lato" w:hAnsi="Lato" w:cs="Times New Roman"/>
        </w:rPr>
        <w:t xml:space="preserve">. </w:t>
      </w:r>
    </w:p>
    <w:p w14:paraId="28724F4B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5CF274D" w14:textId="4AAD5A60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D965A2">
        <w:rPr>
          <w:rFonts w:ascii="Lato" w:hAnsi="Lato" w:cs="Times New Roman"/>
        </w:rPr>
        <w:t xml:space="preserve"> </w:t>
      </w:r>
      <w:r w:rsidR="00D965A2" w:rsidRPr="00D965A2">
        <w:rPr>
          <w:rFonts w:ascii="Lato" w:hAnsi="Lato" w:cs="Times New Roman"/>
        </w:rPr>
        <w:t xml:space="preserve">lub składane </w:t>
      </w:r>
      <w:r w:rsidR="00D965A2" w:rsidRPr="00D965A2">
        <w:rPr>
          <w:rFonts w:ascii="Lato" w:hAnsi="Lato" w:cs="Times New Roman"/>
        </w:rPr>
        <w:lastRenderedPageBreak/>
        <w:t>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2EDFE3F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65A3AA23" w14:textId="7764A999" w:rsidR="00B3040E" w:rsidRPr="00B3040E" w:rsidRDefault="00B3040E" w:rsidP="002B29E2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mowa w ust. 13, nie wlicza się czasu związanego z uzupełnianiem braków w zakresie warunków formalnych wniosku o objęcie przedsięwzięcia wsparciem i poprawą oczywistych omyłek. </w:t>
      </w:r>
    </w:p>
    <w:p w14:paraId="52C2E51E" w14:textId="77777777" w:rsidR="00B3040E" w:rsidRPr="00CC0F5A" w:rsidRDefault="00B3040E" w:rsidP="002B29E2">
      <w:pPr>
        <w:pStyle w:val="Akapitzlist"/>
        <w:rPr>
          <w:rFonts w:ascii="Lato" w:hAnsi="Lato" w:cs="Times New Roman"/>
          <w:bCs/>
          <w:sz w:val="6"/>
          <w:szCs w:val="6"/>
        </w:rPr>
      </w:pPr>
    </w:p>
    <w:p w14:paraId="308C0161" w14:textId="1F317530" w:rsidR="004C1367" w:rsidRDefault="004C1367" w:rsidP="00CC0F5A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Warunkiem pozytywnej oceny </w:t>
      </w:r>
      <w:r w:rsidR="005F49E1">
        <w:rPr>
          <w:rFonts w:ascii="Lato" w:hAnsi="Lato" w:cs="Times New Roman"/>
          <w:bCs/>
        </w:rPr>
        <w:t xml:space="preserve">przedsięwzięcia jest spełnienie wszystkich warunków formalnych oraz </w:t>
      </w:r>
      <w:r w:rsidRPr="00E4035F">
        <w:rPr>
          <w:rFonts w:ascii="Lato" w:hAnsi="Lato" w:cs="Times New Roman"/>
          <w:bCs/>
        </w:rPr>
        <w:t>spełnienie wszystkich kryteriów horyzontalnych i kryteriów szczegółowych lub wskazanie, że kryterium danego przedsięwzięcia nie dotyczy (zgodnie z przyjętymi kryteriami).</w:t>
      </w:r>
      <w:r w:rsidR="00DC5367">
        <w:rPr>
          <w:rFonts w:ascii="Lato" w:hAnsi="Lato" w:cs="Times New Roman"/>
          <w:bCs/>
        </w:rPr>
        <w:t xml:space="preserve"> W przypadku niespełnienia warunków formaln</w:t>
      </w:r>
      <w:r w:rsidR="00F66E04">
        <w:rPr>
          <w:rFonts w:ascii="Lato" w:hAnsi="Lato" w:cs="Times New Roman"/>
          <w:bCs/>
        </w:rPr>
        <w:t>y</w:t>
      </w:r>
      <w:r w:rsidR="00DC5367">
        <w:rPr>
          <w:rFonts w:ascii="Lato" w:hAnsi="Lato" w:cs="Times New Roman"/>
          <w:bCs/>
        </w:rPr>
        <w:t>ch</w:t>
      </w:r>
      <w:r w:rsidR="00F66E04">
        <w:rPr>
          <w:rFonts w:ascii="Lato" w:hAnsi="Lato" w:cs="Times New Roman"/>
          <w:bCs/>
        </w:rPr>
        <w:t xml:space="preserve"> lub</w:t>
      </w:r>
      <w:r w:rsidR="00DC5367">
        <w:rPr>
          <w:rFonts w:ascii="Lato" w:hAnsi="Lato" w:cs="Times New Roman"/>
          <w:bCs/>
        </w:rPr>
        <w:t xml:space="preserve"> kryteriów </w:t>
      </w:r>
      <w:r w:rsidR="00F66E04">
        <w:rPr>
          <w:rFonts w:ascii="Lato" w:hAnsi="Lato" w:cs="Times New Roman"/>
          <w:bCs/>
        </w:rPr>
        <w:t xml:space="preserve">horyzontalnych i </w:t>
      </w:r>
      <w:r w:rsidR="00DC5367">
        <w:rPr>
          <w:rFonts w:ascii="Lato" w:hAnsi="Lato" w:cs="Times New Roman"/>
          <w:bCs/>
        </w:rPr>
        <w:t xml:space="preserve">szczegółowych </w:t>
      </w:r>
      <w:r w:rsidR="00F66E04">
        <w:rPr>
          <w:rFonts w:ascii="Lato" w:hAnsi="Lato" w:cs="Times New Roman"/>
          <w:bCs/>
        </w:rPr>
        <w:t>wniosek otrzymuje ocenę negatywną.</w:t>
      </w:r>
    </w:p>
    <w:p w14:paraId="30E7DA26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1672E30D" w14:textId="689B8583" w:rsidR="004C1367" w:rsidRPr="00CC0F5A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Spełnienie wszystkich </w:t>
      </w:r>
      <w:r w:rsidR="00325C56">
        <w:rPr>
          <w:rFonts w:ascii="Lato" w:hAnsi="Lato" w:cs="Times New Roman"/>
        </w:rPr>
        <w:t xml:space="preserve">warunków i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E4035F">
        <w:rPr>
          <w:rFonts w:ascii="Lato" w:hAnsi="Lato" w:cs="Times New Roman"/>
        </w:rPr>
        <w:t xml:space="preserve">są niezbędne do podjęcia decyzji </w:t>
      </w:r>
      <w:r>
        <w:rPr>
          <w:rFonts w:ascii="Lato" w:hAnsi="Lato" w:cs="Times New Roman"/>
        </w:rPr>
        <w:t xml:space="preserve">o </w:t>
      </w:r>
      <w:r w:rsidRPr="00E4035F">
        <w:rPr>
          <w:rFonts w:ascii="Lato" w:hAnsi="Lato" w:cs="Times New Roman"/>
        </w:rPr>
        <w:t>objęciu przedsięwzięcia wsparciem.</w:t>
      </w:r>
    </w:p>
    <w:p w14:paraId="137AB4DA" w14:textId="77777777" w:rsidR="00347870" w:rsidRPr="00347870" w:rsidRDefault="00347870" w:rsidP="0034787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9F48450" w14:textId="1B11FE5C" w:rsidR="00835C4D" w:rsidRPr="00835C4D" w:rsidRDefault="009A5E22" w:rsidP="00835C4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 w:rsidR="006D3204">
        <w:rPr>
          <w:rFonts w:ascii="Lato" w:hAnsi="Lato" w:cs="Times New Roman"/>
        </w:rPr>
        <w:t xml:space="preserve">Wnioskodawcy oraz Przedsięwzięcia </w:t>
      </w:r>
      <w:r w:rsidRPr="009A5E22">
        <w:rPr>
          <w:rFonts w:ascii="Lato" w:hAnsi="Lato" w:cs="Times New Roman"/>
        </w:rPr>
        <w:t>IOI wykorzystuje systemy Arachne i SKANER</w:t>
      </w:r>
      <w:r w:rsidR="00835C4D">
        <w:rPr>
          <w:rFonts w:ascii="Lato" w:hAnsi="Lato" w:cs="Times New Roman"/>
          <w:lang w:val="pl"/>
        </w:rPr>
        <w:t xml:space="preserve">. </w:t>
      </w:r>
      <w:r w:rsidR="00835C4D" w:rsidRPr="00835C4D">
        <w:rPr>
          <w:rFonts w:ascii="Lato" w:hAnsi="Lato" w:cs="Times New Roman"/>
        </w:rPr>
        <w:t xml:space="preserve">Przed wyborem przedsięwzięcia do objęcia wsparciem IOI </w:t>
      </w:r>
      <w:r w:rsidR="00E42970">
        <w:rPr>
          <w:rFonts w:ascii="Lato" w:hAnsi="Lato" w:cs="Times New Roman"/>
        </w:rPr>
        <w:t>s</w:t>
      </w:r>
      <w:r w:rsidR="00835C4D" w:rsidRPr="00835C4D">
        <w:rPr>
          <w:rFonts w:ascii="Lato" w:hAnsi="Lato" w:cs="Times New Roman"/>
        </w:rPr>
        <w:t xml:space="preserve">kieruje do weryfikacji w systemie Arachne </w:t>
      </w:r>
      <w:r w:rsidR="00835C4D">
        <w:rPr>
          <w:rFonts w:ascii="Lato" w:hAnsi="Lato" w:cs="Times New Roman"/>
        </w:rPr>
        <w:t xml:space="preserve">i Skaner </w:t>
      </w:r>
      <w:r w:rsidR="00835C4D" w:rsidRPr="00835C4D">
        <w:rPr>
          <w:rFonts w:ascii="Lato" w:hAnsi="Lato" w:cs="Times New Roman"/>
        </w:rPr>
        <w:t xml:space="preserve">wnioskodawcę i przedsięwzięcie, które pozytywnie przeszło ocenę </w:t>
      </w:r>
      <w:r w:rsidR="00BA6F0C">
        <w:rPr>
          <w:rFonts w:ascii="Lato" w:hAnsi="Lato" w:cs="Times New Roman"/>
        </w:rPr>
        <w:t>wniosku i</w:t>
      </w:r>
      <w:r w:rsidR="00BA6F0C" w:rsidRPr="00835C4D">
        <w:rPr>
          <w:rFonts w:ascii="Lato" w:hAnsi="Lato" w:cs="Times New Roman"/>
        </w:rPr>
        <w:t xml:space="preserve"> </w:t>
      </w:r>
      <w:r w:rsidR="00835C4D" w:rsidRPr="00835C4D">
        <w:rPr>
          <w:rFonts w:ascii="Lato" w:hAnsi="Lato" w:cs="Times New Roman"/>
        </w:rPr>
        <w:t>zostało rekomendowane do objęcia wsparciem</w:t>
      </w:r>
      <w:r w:rsidR="00BA6F0C">
        <w:rPr>
          <w:rFonts w:ascii="Lato" w:hAnsi="Lato" w:cs="Times New Roman"/>
        </w:rPr>
        <w:t>.</w:t>
      </w:r>
      <w:r w:rsidR="00835C4D" w:rsidRPr="00835C4D">
        <w:rPr>
          <w:rFonts w:ascii="Lato" w:hAnsi="Lato" w:cs="Times New Roman"/>
        </w:rPr>
        <w:t xml:space="preserve"> </w:t>
      </w:r>
      <w:r w:rsidR="00BA6F0C">
        <w:rPr>
          <w:rFonts w:ascii="Lato" w:hAnsi="Lato" w:cs="Times New Roman"/>
        </w:rPr>
        <w:t xml:space="preserve">IOI </w:t>
      </w:r>
      <w:r w:rsidR="00835C4D" w:rsidRPr="00835C4D">
        <w:rPr>
          <w:rFonts w:ascii="Lato" w:hAnsi="Lato" w:cs="Times New Roman"/>
        </w:rPr>
        <w:t xml:space="preserve">dokona sprawdzenia przedsięwzięcia, pod względem nadużyć finansowych, korupcji, konfliktu interesów oraz podwójnego finansowania. </w:t>
      </w:r>
    </w:p>
    <w:bookmarkEnd w:id="31"/>
    <w:p w14:paraId="0CB7C53E" w14:textId="77777777" w:rsidR="008F08EA" w:rsidRPr="00A66A74" w:rsidRDefault="008F08EA" w:rsidP="00A66A74">
      <w:pPr>
        <w:spacing w:line="276" w:lineRule="auto"/>
        <w:jc w:val="both"/>
        <w:rPr>
          <w:rFonts w:ascii="Lato" w:hAnsi="Lato" w:cs="Times New Roman"/>
        </w:rPr>
      </w:pPr>
    </w:p>
    <w:p w14:paraId="36C756C9" w14:textId="77777777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15840750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18591B4A" w14:textId="78315787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5E75B2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>.</w:t>
      </w:r>
    </w:p>
    <w:p w14:paraId="2D789730" w14:textId="6F3DD6DF" w:rsidR="00A331C7" w:rsidRPr="00E4035F" w:rsidRDefault="00A331C7" w:rsidP="00A331C7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o objęciu </w:t>
      </w:r>
      <w:r w:rsidR="00820588" w:rsidRPr="00E4035F">
        <w:rPr>
          <w:rFonts w:ascii="Lato" w:eastAsia="Times New Roman" w:hAnsi="Lato" w:cs="Times New Roman"/>
          <w:lang w:eastAsia="en-US"/>
        </w:rPr>
        <w:t>przedsięwzię</w:t>
      </w:r>
      <w:r w:rsidR="00820588">
        <w:rPr>
          <w:rFonts w:ascii="Lato" w:eastAsia="Times New Roman" w:hAnsi="Lato" w:cs="Times New Roman"/>
          <w:lang w:eastAsia="en-US"/>
        </w:rPr>
        <w:t>ć</w:t>
      </w:r>
      <w:r w:rsidR="00820588" w:rsidRPr="00E4035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wsparciem, IOI w terminie </w:t>
      </w:r>
      <w:r w:rsidRPr="00DB40B7">
        <w:rPr>
          <w:rFonts w:ascii="Lato" w:eastAsia="Times New Roman" w:hAnsi="Lato" w:cs="Times New Roman"/>
          <w:lang w:eastAsia="en-US"/>
        </w:rPr>
        <w:t>7 dni</w:t>
      </w:r>
      <w:r w:rsidRPr="00E4035F">
        <w:rPr>
          <w:rFonts w:ascii="Lato" w:eastAsia="Times New Roman" w:hAnsi="Lato" w:cs="Times New Roman"/>
          <w:lang w:eastAsia="en-US"/>
        </w:rPr>
        <w:t xml:space="preserve"> od</w:t>
      </w:r>
      <w:r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 xml:space="preserve">dnia zatwierdzenia listy ocenionych wniosków </w:t>
      </w:r>
      <w:r w:rsidR="004A22DE">
        <w:rPr>
          <w:rFonts w:ascii="Lato" w:eastAsia="Times New Roman" w:hAnsi="Lato" w:cs="Times New Roman"/>
          <w:lang w:eastAsia="en-US"/>
        </w:rPr>
        <w:t xml:space="preserve">o objęcie przedsięwzięcia </w:t>
      </w:r>
      <w:r w:rsidR="0055331D">
        <w:rPr>
          <w:rFonts w:ascii="Lato" w:eastAsia="Times New Roman" w:hAnsi="Lato" w:cs="Times New Roman"/>
          <w:lang w:eastAsia="en-US"/>
        </w:rPr>
        <w:t>wsparciem</w:t>
      </w:r>
      <w:r w:rsidR="004A22DE"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>przez odpowiednio umocowaną osobę</w:t>
      </w:r>
      <w:r>
        <w:rPr>
          <w:rFonts w:ascii="Lato" w:eastAsia="Times New Roman" w:hAnsi="Lato" w:cs="Times New Roman"/>
          <w:lang w:eastAsia="en-US"/>
        </w:rPr>
        <w:t xml:space="preserve">, </w:t>
      </w:r>
      <w:r w:rsidRPr="00E4035F">
        <w:rPr>
          <w:rFonts w:ascii="Lato" w:eastAsia="Times New Roman" w:hAnsi="Lato" w:cs="Times New Roman"/>
          <w:lang w:eastAsia="en-US"/>
        </w:rPr>
        <w:t xml:space="preserve">zamieszcza na swojej stronie internetowej </w:t>
      </w:r>
      <w:r w:rsidR="0024714F">
        <w:rPr>
          <w:rFonts w:ascii="Lato" w:eastAsia="Times New Roman" w:hAnsi="Lato" w:cs="Times New Roman"/>
          <w:lang w:eastAsia="en-US"/>
        </w:rPr>
        <w:t xml:space="preserve">zatwierdzoną listę </w:t>
      </w:r>
      <w:r w:rsidR="006A2C2A">
        <w:rPr>
          <w:rFonts w:ascii="Lato" w:eastAsia="Times New Roman" w:hAnsi="Lato" w:cs="Times New Roman"/>
          <w:lang w:eastAsia="en-US"/>
        </w:rPr>
        <w:t xml:space="preserve">wszystkich </w:t>
      </w:r>
      <w:r w:rsidR="0024714F">
        <w:rPr>
          <w:rFonts w:ascii="Lato" w:eastAsia="Times New Roman" w:hAnsi="Lato" w:cs="Times New Roman"/>
          <w:lang w:eastAsia="en-US"/>
        </w:rPr>
        <w:t xml:space="preserve">ocenionych </w:t>
      </w:r>
      <w:r w:rsidR="004A22DE">
        <w:rPr>
          <w:rFonts w:ascii="Lato" w:eastAsia="Times New Roman" w:hAnsi="Lato" w:cs="Times New Roman"/>
          <w:lang w:eastAsia="en-US"/>
        </w:rPr>
        <w:t xml:space="preserve">ww. </w:t>
      </w:r>
      <w:r w:rsidR="0024714F">
        <w:rPr>
          <w:rFonts w:ascii="Lato" w:eastAsia="Times New Roman" w:hAnsi="Lato" w:cs="Times New Roman"/>
          <w:lang w:eastAsia="en-US"/>
        </w:rPr>
        <w:t>wniosków</w:t>
      </w:r>
      <w:r w:rsidR="006A2C2A">
        <w:rPr>
          <w:rFonts w:ascii="Lato" w:eastAsia="Times New Roman" w:hAnsi="Lato" w:cs="Times New Roman"/>
          <w:lang w:eastAsia="en-US"/>
        </w:rPr>
        <w:t xml:space="preserve"> z informacją o wybraniu lub niewybraniu </w:t>
      </w:r>
      <w:r w:rsidR="00B529E1">
        <w:rPr>
          <w:rFonts w:ascii="Lato" w:eastAsia="Times New Roman" w:hAnsi="Lato" w:cs="Times New Roman"/>
          <w:lang w:eastAsia="en-US"/>
        </w:rPr>
        <w:t>przedsięwzięcia</w:t>
      </w:r>
      <w:r w:rsidR="006A2C2A">
        <w:rPr>
          <w:rFonts w:ascii="Lato" w:eastAsia="Times New Roman" w:hAnsi="Lato" w:cs="Times New Roman"/>
          <w:lang w:eastAsia="en-US"/>
        </w:rPr>
        <w:t xml:space="preserve"> </w:t>
      </w:r>
      <w:r w:rsidR="0024714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>do objęcia wsparciem, z podaniem następujących danych:</w:t>
      </w:r>
    </w:p>
    <w:p w14:paraId="064CD3D9" w14:textId="5C1F2626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tytuł przedsięwzięcia:</w:t>
      </w:r>
      <w:r w:rsidR="00863564" w:rsidRPr="00863564">
        <w:rPr>
          <w:rFonts w:ascii="Lato" w:hAnsi="Lato" w:cs="Times New Roman"/>
        </w:rPr>
        <w:t xml:space="preserve"> </w:t>
      </w:r>
      <w:r w:rsidR="00863564" w:rsidRPr="00863564">
        <w:rPr>
          <w:rFonts w:ascii="Lato" w:eastAsia="Times New Roman" w:hAnsi="Lato" w:cs="Times New Roman"/>
        </w:rPr>
        <w:t xml:space="preserve">Objęcie wsparciem ze środków Planu rozwojowego, </w:t>
      </w:r>
      <w:r w:rsidR="002454CD">
        <w:rPr>
          <w:rFonts w:ascii="Lato" w:eastAsia="Times New Roman" w:hAnsi="Lato" w:cs="Times New Roman"/>
        </w:rPr>
        <w:t>Przedsięwzięcia</w:t>
      </w:r>
      <w:r w:rsidR="00863564" w:rsidRPr="00863564">
        <w:rPr>
          <w:rFonts w:ascii="Lato" w:eastAsia="Times New Roman" w:hAnsi="Lato" w:cs="Times New Roman"/>
        </w:rPr>
        <w:t xml:space="preserve"> w postaci stypendiów dla studentów kierunku lekarskiego, lekarsko – dentystycznego, analityka medyczna, fizjoterapia oraz farmacja. Edycja 2, rok akademicki 2023/2024. </w:t>
      </w:r>
    </w:p>
    <w:p w14:paraId="4C67E347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8870484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 wsparcia,</w:t>
      </w:r>
    </w:p>
    <w:p w14:paraId="7EC5211A" w14:textId="0FF9D4E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maksymalna </w:t>
      </w:r>
      <w:r w:rsidR="00AE1368">
        <w:rPr>
          <w:rFonts w:ascii="Lato" w:eastAsia="Times New Roman" w:hAnsi="Lato" w:cs="Times New Roman"/>
        </w:rPr>
        <w:t xml:space="preserve">liczba </w:t>
      </w:r>
      <w:r w:rsidRPr="00E4035F">
        <w:rPr>
          <w:rFonts w:ascii="Lato" w:eastAsia="Times New Roman" w:hAnsi="Lato" w:cs="Times New Roman"/>
        </w:rPr>
        <w:t>studentów, którym może zostać przyznane stypendium,</w:t>
      </w:r>
    </w:p>
    <w:p w14:paraId="6B93EAE3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koszt całkowity przedsięwzięcia,</w:t>
      </w:r>
    </w:p>
    <w:p w14:paraId="24A6FDD4" w14:textId="5DEED1F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wartość wydatków kwalifikowalnych</w:t>
      </w:r>
      <w:r w:rsidR="000E3CF9">
        <w:rPr>
          <w:rFonts w:ascii="Lato" w:eastAsia="Times New Roman" w:hAnsi="Lato" w:cs="Times New Roman"/>
        </w:rPr>
        <w:t>.</w:t>
      </w:r>
    </w:p>
    <w:p w14:paraId="5BA9CD9E" w14:textId="77777777" w:rsidR="000E3CF9" w:rsidRPr="0055331D" w:rsidRDefault="000E3CF9" w:rsidP="00E42970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6253FA10" w14:textId="502F79CB" w:rsidR="00385181" w:rsidRPr="0055331D" w:rsidRDefault="00075447" w:rsidP="0038518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hAnsi="Lato" w:cs="Times New Roman"/>
          <w:lang w:eastAsia="en-US"/>
        </w:rPr>
        <w:t>Niezwłocznie po zakończeniu oceny, Wnioskodawca jest informowany pisemnie przez IOI</w:t>
      </w:r>
      <w:r w:rsidR="00385181" w:rsidRPr="00E4035F">
        <w:rPr>
          <w:rFonts w:ascii="Lato" w:hAnsi="Lato" w:cs="Times New Roman"/>
          <w:lang w:eastAsia="en-US"/>
        </w:rPr>
        <w:t xml:space="preserve"> o spełnieniu wszystkich </w:t>
      </w:r>
      <w:r w:rsidR="00385181">
        <w:rPr>
          <w:rFonts w:ascii="Lato" w:hAnsi="Lato" w:cs="Times New Roman"/>
          <w:lang w:eastAsia="en-US"/>
        </w:rPr>
        <w:t>k</w:t>
      </w:r>
      <w:r w:rsidR="00385181" w:rsidRPr="00E4035F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385181">
        <w:rPr>
          <w:rFonts w:ascii="Lato" w:hAnsi="Lato" w:cs="Times New Roman"/>
          <w:lang w:eastAsia="en-US"/>
        </w:rPr>
        <w:t>zawarcia</w:t>
      </w:r>
      <w:r w:rsidR="00385181" w:rsidRPr="00E4035F">
        <w:rPr>
          <w:rFonts w:ascii="Lato" w:hAnsi="Lato" w:cs="Times New Roman"/>
          <w:lang w:eastAsia="en-US"/>
        </w:rPr>
        <w:t xml:space="preserve"> </w:t>
      </w:r>
      <w:r w:rsidR="00385181">
        <w:rPr>
          <w:rFonts w:ascii="Lato" w:hAnsi="Lato" w:cs="Times New Roman"/>
          <w:lang w:eastAsia="en-US"/>
        </w:rPr>
        <w:t>U</w:t>
      </w:r>
      <w:r w:rsidR="00385181" w:rsidRPr="00E4035F">
        <w:rPr>
          <w:rFonts w:ascii="Lato" w:hAnsi="Lato" w:cs="Times New Roman"/>
          <w:lang w:eastAsia="en-US"/>
        </w:rPr>
        <w:t>mowy</w:t>
      </w:r>
      <w:r>
        <w:rPr>
          <w:rFonts w:ascii="Lato" w:hAnsi="Lato" w:cs="Times New Roman"/>
          <w:lang w:eastAsia="en-US"/>
        </w:rPr>
        <w:t>,</w:t>
      </w:r>
      <w:r w:rsidR="00385181" w:rsidRPr="00E4035F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07143818" w14:textId="77777777" w:rsidR="0055331D" w:rsidRPr="0055331D" w:rsidRDefault="0055331D" w:rsidP="0055331D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3DF45D3B" w14:textId="49F8A75E" w:rsidR="001F71B1" w:rsidRPr="001F71B1" w:rsidRDefault="001F71B1" w:rsidP="001F71B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375B14">
        <w:rPr>
          <w:rFonts w:ascii="Lato" w:eastAsia="Times New Roman" w:hAnsi="Lato" w:cs="Times New Roman"/>
        </w:rPr>
        <w:t xml:space="preserve">Pismo, o którym mowa w ust. 2 zawiera również informacje dotyczące trybu podpisywania umowy, o której mowa w </w:t>
      </w:r>
      <w:r w:rsidRPr="00326AAB">
        <w:rPr>
          <w:rFonts w:ascii="Lato" w:eastAsia="Times New Roman" w:hAnsi="Lato" w:cs="Times New Roman"/>
        </w:rPr>
        <w:t>§</w:t>
      </w:r>
      <w:r>
        <w:rPr>
          <w:rFonts w:ascii="Lato" w:eastAsia="Times New Roman" w:hAnsi="Lato" w:cs="Times New Roman"/>
        </w:rPr>
        <w:t xml:space="preserve"> </w:t>
      </w:r>
      <w:r w:rsidR="006B4A98">
        <w:rPr>
          <w:rFonts w:ascii="Lato" w:eastAsia="Times New Roman" w:hAnsi="Lato" w:cs="Times New Roman"/>
        </w:rPr>
        <w:t>18</w:t>
      </w:r>
      <w:r>
        <w:rPr>
          <w:rFonts w:ascii="Lato" w:eastAsia="Times New Roman" w:hAnsi="Lato" w:cs="Times New Roman"/>
        </w:rPr>
        <w:t xml:space="preserve"> </w:t>
      </w:r>
      <w:r w:rsidRPr="00375B14">
        <w:rPr>
          <w:rFonts w:ascii="Lato" w:eastAsia="Times New Roman" w:hAnsi="Lato" w:cs="Times New Roman"/>
        </w:rPr>
        <w:t>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0D628B0B" w14:textId="77777777" w:rsidR="006D3204" w:rsidRPr="00E4035F" w:rsidRDefault="006D3204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F9AB5E0" w14:textId="00AF535E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15840751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A23B5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</w:p>
    <w:p w14:paraId="3D400F5E" w14:textId="4ACF55CE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5D9A5D71" w14:textId="50EA9CF9" w:rsidR="00A331C7" w:rsidRPr="00E4035F" w:rsidRDefault="00384854" w:rsidP="00A331C7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075447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075447">
        <w:rPr>
          <w:rFonts w:ascii="Lato" w:hAnsi="Lato" w:cs="Times New Roman"/>
          <w:color w:val="333333"/>
          <w:shd w:val="clear" w:color="auto" w:fill="FFFFFF"/>
        </w:rPr>
        <w:t>ku</w:t>
      </w:r>
      <w:r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</w:t>
      </w:r>
      <w:r w:rsidR="00A331C7" w:rsidRPr="00E4035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05FF9F28" w14:textId="77777777" w:rsidR="00A331C7" w:rsidRPr="00E4035F" w:rsidRDefault="00A331C7" w:rsidP="00A331C7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E4035F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 xml:space="preserve">powinien </w:t>
      </w:r>
      <w:r w:rsidRPr="00E4035F">
        <w:rPr>
          <w:rFonts w:ascii="Lato" w:eastAsia="Times New Roman" w:hAnsi="Lato" w:cs="Times New Roman"/>
          <w:color w:val="333333"/>
        </w:rPr>
        <w:t>zawiera</w:t>
      </w:r>
      <w:r>
        <w:rPr>
          <w:rFonts w:ascii="Lato" w:eastAsia="Times New Roman" w:hAnsi="Lato" w:cs="Times New Roman"/>
          <w:color w:val="333333"/>
        </w:rPr>
        <w:t>ć</w:t>
      </w:r>
      <w:r w:rsidRPr="00E4035F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3A89729C" w14:textId="77777777" w:rsidR="00A331C7" w:rsidRPr="00E4035F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45FEA389" w14:textId="77777777" w:rsidR="00A331C7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492FE684" w14:textId="77777777" w:rsidR="00602314" w:rsidRPr="00602314" w:rsidRDefault="00602314" w:rsidP="00602314">
      <w:pPr>
        <w:pStyle w:val="Akapitzlist"/>
        <w:shd w:val="clear" w:color="auto" w:fill="FFFFFF"/>
        <w:spacing w:line="276" w:lineRule="auto"/>
        <w:ind w:left="1077"/>
        <w:rPr>
          <w:rFonts w:ascii="Lato" w:eastAsia="Times New Roman" w:hAnsi="Lato" w:cs="Times New Roman"/>
          <w:color w:val="333333"/>
          <w:sz w:val="6"/>
          <w:szCs w:val="6"/>
        </w:rPr>
      </w:pPr>
    </w:p>
    <w:p w14:paraId="54D4A8F1" w14:textId="3787307D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Wnioskodawca składa </w:t>
      </w:r>
      <w:r w:rsidR="00EC7E61">
        <w:rPr>
          <w:rFonts w:ascii="Lato" w:hAnsi="Lato"/>
        </w:rPr>
        <w:t xml:space="preserve">poprzez </w:t>
      </w:r>
      <w:proofErr w:type="spellStart"/>
      <w:r w:rsidR="00367635">
        <w:rPr>
          <w:rFonts w:ascii="Lato" w:hAnsi="Lato"/>
        </w:rPr>
        <w:t>ePUAP</w:t>
      </w:r>
      <w:proofErr w:type="spellEnd"/>
      <w:r w:rsidR="00075447">
        <w:rPr>
          <w:rFonts w:ascii="Lato" w:hAnsi="Lato"/>
        </w:rPr>
        <w:t>/</w:t>
      </w:r>
      <w:r w:rsidR="002A137F" w:rsidRPr="002A137F">
        <w:rPr>
          <w:rFonts w:ascii="Lato" w:hAnsi="Lato"/>
        </w:rPr>
        <w:t>przez skrzynkę do e-Doręczeń</w:t>
      </w:r>
      <w:r w:rsidR="002A137F">
        <w:rPr>
          <w:rStyle w:val="Odwoanieprzypisudolnego"/>
          <w:rFonts w:ascii="Lato" w:hAnsi="Lato"/>
        </w:rPr>
        <w:footnoteReference w:id="6"/>
      </w:r>
      <w:r w:rsidR="00367635"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wniosek o ponowną ocenę przedsięwzięcia </w:t>
      </w:r>
      <w:r>
        <w:rPr>
          <w:rFonts w:ascii="Lato" w:hAnsi="Lato"/>
        </w:rPr>
        <w:t xml:space="preserve">do IOI </w:t>
      </w:r>
      <w:r w:rsidRPr="001420E7">
        <w:rPr>
          <w:rFonts w:ascii="Lato" w:hAnsi="Lato"/>
        </w:rPr>
        <w:t>w terminie  7 dni od otrzymania informacji, o której mowa w § 1</w:t>
      </w:r>
      <w:r w:rsidR="001F71B1">
        <w:rPr>
          <w:rFonts w:ascii="Lato" w:hAnsi="Lato"/>
        </w:rPr>
        <w:t>5</w:t>
      </w:r>
      <w:r w:rsidR="00BC6A65">
        <w:rPr>
          <w:rFonts w:ascii="Lato" w:hAnsi="Lato"/>
        </w:rPr>
        <w:t xml:space="preserve"> </w:t>
      </w:r>
      <w:r w:rsidRPr="001420E7">
        <w:rPr>
          <w:rFonts w:ascii="Lato" w:hAnsi="Lato"/>
        </w:rPr>
        <w:t>ust. 2.</w:t>
      </w:r>
      <w:r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 przypadku wniesienia wniosku o ponowną ocenę przedsięwzięcia po terminie lub </w:t>
      </w:r>
      <w:r>
        <w:rPr>
          <w:rFonts w:ascii="Lato" w:hAnsi="Lato"/>
        </w:rPr>
        <w:t xml:space="preserve">wniosku </w:t>
      </w:r>
      <w:r w:rsidRPr="001420E7">
        <w:rPr>
          <w:rFonts w:ascii="Lato" w:hAnsi="Lato"/>
        </w:rPr>
        <w:t>niespełniającego wymogów</w:t>
      </w:r>
      <w:r w:rsidR="00800601">
        <w:rPr>
          <w:rFonts w:ascii="Lato" w:hAnsi="Lato"/>
        </w:rPr>
        <w:t xml:space="preserve"> </w:t>
      </w:r>
      <w:r w:rsidR="00800601" w:rsidRPr="00800601">
        <w:rPr>
          <w:rFonts w:ascii="Lato" w:hAnsi="Lato"/>
        </w:rPr>
        <w:t>określonych w</w:t>
      </w:r>
      <w:r w:rsidR="00800601" w:rsidRPr="00D81AE1">
        <w:rPr>
          <w:rFonts w:ascii="Lato" w:hAnsi="Lato" w:cs="Segoe UI"/>
        </w:rPr>
        <w:t xml:space="preserve"> </w:t>
      </w:r>
      <w:r w:rsidR="00771FB4">
        <w:rPr>
          <w:rFonts w:ascii="Lato" w:hAnsi="Lato" w:cs="Segoe UI"/>
        </w:rPr>
        <w:t>ust</w:t>
      </w:r>
      <w:r w:rsidR="004A22DE">
        <w:rPr>
          <w:rFonts w:ascii="Lato" w:hAnsi="Lato" w:cs="Segoe UI"/>
        </w:rPr>
        <w:t>.</w:t>
      </w:r>
      <w:r w:rsidR="00771FB4">
        <w:rPr>
          <w:rFonts w:ascii="Lato" w:hAnsi="Lato" w:cs="Segoe UI"/>
        </w:rPr>
        <w:t xml:space="preserve"> 2</w:t>
      </w:r>
      <w:r w:rsidRPr="001420E7">
        <w:rPr>
          <w:rFonts w:ascii="Lato" w:hAnsi="Lato"/>
        </w:rPr>
        <w:t>, IOI pozostawia wniosek o ponowną ocenę przedsięwzięcia bez rozpatrzenia, o czym informuje Wnioskodawcę pouczając go o możliwości wniesienia w tym zakresie skargi do sądu administracyjnego na zasadach określonych w ust. 8.</w:t>
      </w:r>
    </w:p>
    <w:p w14:paraId="7D620E26" w14:textId="77777777" w:rsidR="00A331C7" w:rsidRPr="001A0AFB" w:rsidRDefault="00A331C7" w:rsidP="00A331C7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5C5B786" w14:textId="77777777" w:rsidR="00A331C7" w:rsidRPr="00E4035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7D1E62EC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11C5F05F" w14:textId="77777777" w:rsidR="00A331C7" w:rsidRPr="001A0AFB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  <w:r w:rsidRPr="00E4035F">
        <w:rPr>
          <w:rFonts w:ascii="Lato" w:hAnsi="Lato"/>
        </w:rPr>
        <w:t xml:space="preserve"> </w:t>
      </w:r>
    </w:p>
    <w:p w14:paraId="71A33112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 xml:space="preserve">nioskodawcę pouczając go o </w:t>
      </w:r>
      <w:r w:rsidRPr="00E4035F">
        <w:rPr>
          <w:rFonts w:ascii="Lato" w:hAnsi="Lato"/>
        </w:rPr>
        <w:lastRenderedPageBreak/>
        <w:t>możliwości wniesienia w tym zakresie skargi do sądu administracyjnego na zasadach określonych w ust. 8.</w:t>
      </w:r>
    </w:p>
    <w:p w14:paraId="1C9E6119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FFC2BE" w14:textId="3710274E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853B49">
        <w:rPr>
          <w:rFonts w:ascii="Lato" w:hAnsi="Lato"/>
        </w:rPr>
        <w:t>P</w:t>
      </w:r>
      <w:r w:rsidRPr="00E4035F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nioskodawcami, których przedsięwzięcia zostały wybrane do objęcia wsparciem.</w:t>
      </w:r>
    </w:p>
    <w:p w14:paraId="28DEB184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4CDB2B" w14:textId="64954846" w:rsidR="00A331C7" w:rsidRPr="007E5B7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W przypadku ponownej</w:t>
      </w:r>
      <w:r>
        <w:rPr>
          <w:rFonts w:ascii="Lato" w:hAnsi="Lato"/>
        </w:rPr>
        <w:t xml:space="preserve"> negatywnej</w:t>
      </w:r>
      <w:r w:rsidRPr="00E4035F">
        <w:rPr>
          <w:rFonts w:ascii="Lato" w:hAnsi="Lato"/>
        </w:rPr>
        <w:t xml:space="preserve">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2A137F">
        <w:rPr>
          <w:rFonts w:ascii="Lato" w:hAnsi="Lato"/>
        </w:rPr>
        <w:t>4</w:t>
      </w:r>
      <w:r w:rsidRPr="00E4035F">
        <w:rPr>
          <w:rFonts w:ascii="Lato" w:hAnsi="Lato"/>
        </w:rPr>
        <w:t xml:space="preserve"> r. poz. </w:t>
      </w:r>
      <w:r w:rsidR="002A137F">
        <w:rPr>
          <w:rFonts w:ascii="Lato" w:hAnsi="Lato"/>
        </w:rPr>
        <w:t>935</w:t>
      </w:r>
      <w:r w:rsidR="0012673E">
        <w:rPr>
          <w:rFonts w:ascii="Lato" w:hAnsi="Lato"/>
        </w:rPr>
        <w:t xml:space="preserve"> z późn. zm.</w:t>
      </w:r>
      <w:r w:rsidRPr="00E403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5980AC4E" w14:textId="77777777" w:rsidR="00A331C7" w:rsidRPr="00E4035F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85F0235" w14:textId="366F1DED" w:rsidR="00A331C7" w:rsidRPr="00D05C3B" w:rsidRDefault="00A331C7" w:rsidP="00A331C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05C3B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7</w:t>
      </w:r>
      <w:r w:rsidRPr="00D05C3B">
        <w:rPr>
          <w:rFonts w:ascii="Lato" w:hAnsi="Lato" w:cs="Times New Roman"/>
          <w:b/>
          <w:bCs/>
        </w:rPr>
        <w:t>.</w:t>
      </w:r>
    </w:p>
    <w:p w14:paraId="1DA30E47" w14:textId="3D5A9617" w:rsidR="008F08EA" w:rsidRPr="00E4035F" w:rsidRDefault="00A331C7" w:rsidP="00A331C7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  <w:lang w:eastAsia="en-US"/>
        </w:rPr>
        <w:t>Procedura</w:t>
      </w:r>
      <w:r w:rsidRPr="00E4035F">
        <w:rPr>
          <w:rFonts w:ascii="Lato" w:hAnsi="Lato" w:cs="Times New Roman"/>
        </w:rPr>
        <w:t xml:space="preserve"> odwoławcza związana z wyborem studentów objętych wsparciem zostanie zawarta w uchwalonym przez daną uczelnię regulaminie stypendiów, o którym mowa w § </w:t>
      </w:r>
      <w:r w:rsidR="00C952F5">
        <w:rPr>
          <w:rFonts w:ascii="Lato" w:hAnsi="Lato" w:cs="Times New Roman"/>
        </w:rPr>
        <w:t>9</w:t>
      </w:r>
      <w:r w:rsidRPr="00E4035F">
        <w:rPr>
          <w:rFonts w:ascii="Lato" w:hAnsi="Lato" w:cs="Times New Roman"/>
        </w:rPr>
        <w:t xml:space="preserve"> ust. 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6B712B4C" w14:textId="77777777" w:rsidR="00A331C7" w:rsidRPr="00E4035F" w:rsidRDefault="00A331C7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CAFD858" w14:textId="6FA6B88B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5840752"/>
      <w:r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>
        <w:rPr>
          <w:rFonts w:ascii="Lato" w:hAnsi="Lato" w:cs="Times New Roman"/>
          <w:b/>
          <w:color w:val="auto"/>
          <w:sz w:val="24"/>
          <w:szCs w:val="24"/>
        </w:rPr>
        <w:t>U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mowy o objęcie przedsięwzięcia wsparciem</w:t>
      </w:r>
      <w:bookmarkEnd w:id="34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010BB1C4" w14:textId="6C45CED9" w:rsidR="00AC5BB7" w:rsidRPr="00E4035F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38AF612E" w14:textId="77777777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Umowy o objęcie przedsięwzięcia wsparciem stanowi </w:t>
      </w:r>
      <w:r w:rsidRPr="009C43D4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5</w:t>
      </w:r>
      <w:r w:rsidRPr="00E4035F">
        <w:rPr>
          <w:rFonts w:ascii="Lato" w:eastAsia="Times New Roman" w:hAnsi="Lato" w:cs="Times New Roman"/>
        </w:rPr>
        <w:t xml:space="preserve"> do Regulaminu.</w:t>
      </w:r>
    </w:p>
    <w:p w14:paraId="3B2FE54C" w14:textId="77777777" w:rsidR="00AC5BB7" w:rsidRPr="005624E8" w:rsidRDefault="00AC5BB7" w:rsidP="00AC5BB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3C721A45" w14:textId="44041BD1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>mowy do podjęcia dodatkowych czynności, w tym do złożenia do IOI aktualnych załączników do wniosku.</w:t>
      </w:r>
    </w:p>
    <w:p w14:paraId="1D6F5AFD" w14:textId="77777777" w:rsidR="00602314" w:rsidRPr="00602314" w:rsidRDefault="00602314" w:rsidP="0060231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6A75196E" w14:textId="3EC9DD3B" w:rsidR="00602314" w:rsidRDefault="00AC5BB7" w:rsidP="008F08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zawiera z OOW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mowę, o której mowa </w:t>
      </w:r>
      <w:r>
        <w:rPr>
          <w:rFonts w:ascii="Lato" w:eastAsia="Times New Roman" w:hAnsi="Lato" w:cs="Times New Roman"/>
        </w:rPr>
        <w:t xml:space="preserve">w </w:t>
      </w:r>
      <w:r w:rsidRPr="00E4035F">
        <w:rPr>
          <w:rFonts w:ascii="Lato" w:eastAsia="Times New Roman" w:hAnsi="Lato" w:cs="Times New Roman"/>
        </w:rPr>
        <w:t>ust. 1 w formie dokumentu elektronicznego podpisanego przez obie strony przy użyciu kwalifikowanego podpisu elektronicznego.</w:t>
      </w:r>
    </w:p>
    <w:p w14:paraId="357FCA57" w14:textId="77777777" w:rsidR="004A22DE" w:rsidRPr="002B29E2" w:rsidRDefault="004A22DE" w:rsidP="002B29E2">
      <w:pPr>
        <w:pStyle w:val="Akapitzlist"/>
        <w:rPr>
          <w:rFonts w:ascii="Lato" w:eastAsia="Times New Roman" w:hAnsi="Lato" w:cs="Times New Roman"/>
        </w:rPr>
      </w:pPr>
    </w:p>
    <w:p w14:paraId="0356D6EC" w14:textId="77777777" w:rsidR="004A22DE" w:rsidRPr="008F08EA" w:rsidRDefault="004A22DE" w:rsidP="002B29E2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</w:rPr>
      </w:pPr>
    </w:p>
    <w:p w14:paraId="50510385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215840753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Zasady rozliczania i dokumentowania poszczególnych wydatków w ramach realizacji  przedsięwzięcia</w:t>
      </w:r>
      <w:bookmarkEnd w:id="35"/>
    </w:p>
    <w:p w14:paraId="4F00EE24" w14:textId="68B9BD4A" w:rsidR="00AC5BB7" w:rsidRPr="0016723B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16723B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19</w:t>
      </w:r>
      <w:r w:rsidRPr="0016723B">
        <w:rPr>
          <w:rFonts w:ascii="Lato" w:hAnsi="Lato" w:cs="Times New Roman"/>
          <w:b/>
          <w:bCs/>
        </w:rPr>
        <w:t>.</w:t>
      </w:r>
    </w:p>
    <w:p w14:paraId="71BCB956" w14:textId="1A0AA772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9910B4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2A137F">
        <w:rPr>
          <w:rFonts w:ascii="Lato" w:hAnsi="Lato" w:cs="Times New Roman"/>
        </w:rPr>
        <w:t xml:space="preserve">, z </w:t>
      </w:r>
      <w:r w:rsidR="002A137F" w:rsidRPr="002A137F">
        <w:rPr>
          <w:rFonts w:ascii="Lato" w:hAnsi="Lato" w:cs="Times New Roman"/>
        </w:rPr>
        <w:t xml:space="preserve">zastrzeżeniem obowiązku dekretacji na dowodach księgowych i opisu dowodów </w:t>
      </w:r>
      <w:r w:rsidR="002A137F" w:rsidRPr="002A137F">
        <w:rPr>
          <w:rFonts w:ascii="Lato" w:hAnsi="Lato" w:cs="Times New Roman"/>
        </w:rPr>
        <w:lastRenderedPageBreak/>
        <w:t>wskazującym na sfinansowane przez Unię Europejską ze środków Krajowego Planu Obudowy i Zwiększania Odporności</w:t>
      </w:r>
      <w:r w:rsidRPr="00E4035F">
        <w:rPr>
          <w:rFonts w:ascii="Lato" w:hAnsi="Lato" w:cs="Times New Roman"/>
        </w:rPr>
        <w:t xml:space="preserve">. </w:t>
      </w:r>
    </w:p>
    <w:p w14:paraId="701F0569" w14:textId="1DA2C8D7" w:rsidR="00AC5BB7" w:rsidRPr="00E4035F" w:rsidRDefault="00D965A2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AC5BB7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="00AC5BB7" w:rsidRPr="00E4035F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</w:t>
      </w:r>
      <w:r>
        <w:rPr>
          <w:rFonts w:ascii="Lato" w:hAnsi="Lato" w:cs="Times New Roman"/>
        </w:rPr>
        <w:t>w dokumentacji księgowej</w:t>
      </w:r>
      <w:r w:rsidR="00AC5BB7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711F8002" w14:textId="1ECC1F15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otworzyć odrębny nieoprocentowany rachunek bankowy</w:t>
      </w:r>
      <w:r w:rsidR="00B53E2D">
        <w:rPr>
          <w:rFonts w:ascii="Lato" w:hAnsi="Lato" w:cs="Times New Roman"/>
        </w:rPr>
        <w:t xml:space="preserve"> dla potrzeb przekazywania zaliczki</w:t>
      </w:r>
      <w:r w:rsidRPr="00E4035F">
        <w:rPr>
          <w:rFonts w:ascii="Lato" w:hAnsi="Lato" w:cs="Times New Roman"/>
        </w:rPr>
        <w:t xml:space="preserve">, dedykowany wyłącznie na potrzeby realizacji przedsięwzięcia (konto lub subkonto). </w:t>
      </w:r>
      <w:r w:rsidR="002A137F" w:rsidRPr="002A137F">
        <w:rPr>
          <w:rFonts w:ascii="Lato" w:hAnsi="Lato" w:cs="Times New Roman"/>
        </w:rPr>
        <w:t>OOW zobowiązany jest wskazać w Umowie o objęcie przedsięwzięcia wsparciem numer ww. rachunku bankowego</w:t>
      </w:r>
      <w:r w:rsidR="002A137F">
        <w:rPr>
          <w:rFonts w:ascii="Lato" w:hAnsi="Lato" w:cs="Times New Roman"/>
        </w:rPr>
        <w:t>.</w:t>
      </w:r>
    </w:p>
    <w:p w14:paraId="78697C28" w14:textId="761C3E2F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 OOW są dowody księgowe, w szczególności </w:t>
      </w:r>
      <w:r w:rsidR="00BD1008">
        <w:rPr>
          <w:rFonts w:ascii="Lato" w:hAnsi="Lato" w:cs="Times New Roman"/>
        </w:rPr>
        <w:t xml:space="preserve">potwierdzenia przelewów na konta studentów celem wypłaty stypendiów lub </w:t>
      </w:r>
      <w:r w:rsidRPr="00E4035F">
        <w:rPr>
          <w:rFonts w:ascii="Lato" w:hAnsi="Lato" w:cs="Times New Roman"/>
        </w:rPr>
        <w:t>inne dokumenty księgowe o równoważnej wartości dowodowej wraz z potwierdzeniami zapłaty.</w:t>
      </w:r>
    </w:p>
    <w:p w14:paraId="01CD0C03" w14:textId="77777777" w:rsidR="00AC5BB7" w:rsidRPr="00F42A2D" w:rsidRDefault="00AC5BB7" w:rsidP="00AC5BB7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32527DC5" w14:textId="77777777" w:rsidR="00AC5BB7" w:rsidRPr="00E4035F" w:rsidRDefault="00AC5BB7" w:rsidP="00AC5BB7">
      <w:pPr>
        <w:pStyle w:val="Akapitzlist"/>
        <w:spacing w:before="120" w:line="276" w:lineRule="auto"/>
        <w:ind w:left="357"/>
        <w:contextualSpacing w:val="0"/>
        <w:jc w:val="both"/>
        <w:rPr>
          <w:rFonts w:ascii="Lato" w:hAnsi="Lato" w:cs="Times New Roman"/>
        </w:rPr>
      </w:pPr>
    </w:p>
    <w:p w14:paraId="7096BBB8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6" w:name="_Toc215840754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6"/>
    </w:p>
    <w:p w14:paraId="61AC7BC0" w14:textId="1FE97D05" w:rsidR="00AC5BB7" w:rsidRPr="00F42A2D" w:rsidRDefault="00AC5BB7" w:rsidP="00AC5BB7">
      <w:pPr>
        <w:pStyle w:val="Akapitzlist"/>
        <w:spacing w:line="276" w:lineRule="auto"/>
        <w:ind w:left="3900" w:firstLine="348"/>
        <w:rPr>
          <w:rFonts w:ascii="Lato" w:hAnsi="Lato" w:cs="Times New Roman"/>
          <w:b/>
          <w:bCs/>
        </w:rPr>
      </w:pPr>
      <w:r w:rsidRPr="00F42A2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0</w:t>
      </w:r>
      <w:r w:rsidRPr="00F42A2D">
        <w:rPr>
          <w:rFonts w:ascii="Lato" w:hAnsi="Lato" w:cs="Times New Roman"/>
          <w:b/>
          <w:bCs/>
        </w:rPr>
        <w:t>.</w:t>
      </w:r>
    </w:p>
    <w:p w14:paraId="05805905" w14:textId="3C7999C1" w:rsidR="00ED620C" w:rsidRDefault="00AC5BB7" w:rsidP="00DB40B7">
      <w:pPr>
        <w:spacing w:line="276" w:lineRule="auto"/>
        <w:jc w:val="both"/>
        <w:rPr>
          <w:rFonts w:ascii="Lato" w:hAnsi="Lato" w:cs="Times New Roman"/>
        </w:rPr>
      </w:pPr>
      <w:r w:rsidRPr="00E91E47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</w:t>
      </w:r>
      <w:r>
        <w:rPr>
          <w:rFonts w:ascii="Lato" w:hAnsi="Lato"/>
        </w:rPr>
        <w:t>ną</w:t>
      </w:r>
      <w:r w:rsidRPr="00E4035F">
        <w:rPr>
          <w:rFonts w:ascii="Lato" w:hAnsi="Lato"/>
        </w:rPr>
        <w:t xml:space="preserve"> uregulowane w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ie</w:t>
      </w:r>
      <w:r w:rsidRPr="00E4035F">
        <w:rPr>
          <w:rFonts w:ascii="Lato" w:hAnsi="Lato"/>
        </w:rPr>
        <w:t xml:space="preserve"> o objęcie przedsięwzięcia wsparciem</w:t>
      </w:r>
      <w:r w:rsidRPr="00E4035F">
        <w:rPr>
          <w:rFonts w:ascii="Lato" w:hAnsi="Lato" w:cs="Times New Roman"/>
        </w:rPr>
        <w:t xml:space="preserve"> w części Warunki przekazania przyznanych środków.</w:t>
      </w:r>
    </w:p>
    <w:p w14:paraId="2BD4A5E7" w14:textId="77777777" w:rsidR="008F08EA" w:rsidRPr="00DB40B7" w:rsidRDefault="008F08EA" w:rsidP="00DB40B7">
      <w:pPr>
        <w:spacing w:line="276" w:lineRule="auto"/>
        <w:jc w:val="both"/>
        <w:rPr>
          <w:rFonts w:ascii="Lato" w:hAnsi="Lato" w:cs="Times New Roman"/>
        </w:rPr>
      </w:pPr>
    </w:p>
    <w:p w14:paraId="12E98719" w14:textId="401802EC" w:rsidR="00DA7D29" w:rsidRPr="00E4035F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7" w:name="_Toc127872628"/>
      <w:bookmarkStart w:id="38" w:name="_Toc21584075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37"/>
      <w:bookmarkEnd w:id="38"/>
    </w:p>
    <w:p w14:paraId="568BE315" w14:textId="69C4612B" w:rsidR="00DA7D29" w:rsidRPr="00E4035F" w:rsidRDefault="00F03BBC" w:rsidP="00C2463F">
      <w:pPr>
        <w:pStyle w:val="Akapitzlist"/>
        <w:spacing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AC5BB7"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>.</w:t>
      </w:r>
    </w:p>
    <w:p w14:paraId="7BBDAA4B" w14:textId="61A70D03" w:rsidR="008659E2" w:rsidRPr="00E4035F" w:rsidRDefault="00DC42D9" w:rsidP="00D5256D">
      <w:pPr>
        <w:pStyle w:val="Akapitzlist"/>
        <w:numPr>
          <w:ilvl w:val="1"/>
          <w:numId w:val="43"/>
        </w:numPr>
        <w:spacing w:before="120" w:after="120" w:line="276" w:lineRule="auto"/>
        <w:ind w:left="357" w:hanging="357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</w:t>
      </w:r>
      <w:r w:rsidR="00AB47FB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zobowiązany będzie do składania </w:t>
      </w:r>
      <w:r w:rsidR="008E686F" w:rsidRPr="00E4035F">
        <w:rPr>
          <w:rFonts w:ascii="Lato" w:hAnsi="Lato" w:cs="Times New Roman"/>
        </w:rPr>
        <w:t>nie rzadziej niż raz na</w:t>
      </w:r>
      <w:r w:rsidRPr="00E4035F">
        <w:rPr>
          <w:rFonts w:ascii="Lato" w:hAnsi="Lato" w:cs="Times New Roman"/>
        </w:rPr>
        <w:t xml:space="preserve"> trzy miesiące </w:t>
      </w:r>
      <w:r w:rsidR="00BD1008">
        <w:rPr>
          <w:rFonts w:ascii="Lato" w:hAnsi="Lato" w:cs="Times New Roman"/>
        </w:rPr>
        <w:t xml:space="preserve">wniosku o płatność dotyczącego stanu </w:t>
      </w:r>
      <w:r w:rsidR="00DF1F6F">
        <w:rPr>
          <w:rFonts w:ascii="Lato" w:hAnsi="Lato" w:cs="Times New Roman"/>
        </w:rPr>
        <w:t>realizacji przedsięwzięcia</w:t>
      </w:r>
      <w:r w:rsidRPr="00E4035F">
        <w:rPr>
          <w:rFonts w:ascii="Lato" w:hAnsi="Lato" w:cs="Times New Roman"/>
        </w:rPr>
        <w:t xml:space="preserve"> w systemie CST2021. Każdy kwartał jest okresem sprawozdawczym. </w:t>
      </w:r>
    </w:p>
    <w:p w14:paraId="17010A6F" w14:textId="77777777" w:rsidR="0055331D" w:rsidRDefault="005C1F65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 w terminie do 3 dni roboczych po wystąpieniu zdarzenia warunkującego konieczność wprowadzenia lub modyfikacji danych.</w:t>
      </w:r>
    </w:p>
    <w:p w14:paraId="2CCAB181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383A6AB" w14:textId="5B482A8A" w:rsidR="0055331D" w:rsidRDefault="006E237E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OOW zobowiązuje się </w:t>
      </w:r>
      <w:r w:rsidR="00110C44" w:rsidRPr="0055331D">
        <w:rPr>
          <w:rFonts w:ascii="Lato" w:hAnsi="Lato" w:cs="Times New Roman"/>
        </w:rPr>
        <w:t>rozliczyć</w:t>
      </w:r>
      <w:r w:rsidRPr="0055331D">
        <w:rPr>
          <w:rFonts w:ascii="Lato" w:hAnsi="Lato" w:cs="Times New Roman"/>
        </w:rPr>
        <w:t xml:space="preserve"> każdy </w:t>
      </w:r>
      <w:r w:rsidR="00C2463F" w:rsidRPr="0055331D">
        <w:rPr>
          <w:rFonts w:ascii="Lato" w:hAnsi="Lato" w:cs="Times New Roman"/>
        </w:rPr>
        <w:t>w</w:t>
      </w:r>
      <w:r w:rsidRPr="0055331D">
        <w:rPr>
          <w:rFonts w:ascii="Lato" w:hAnsi="Lato" w:cs="Times New Roman"/>
        </w:rPr>
        <w:t xml:space="preserve">ydatek </w:t>
      </w:r>
      <w:r w:rsidR="00C2463F" w:rsidRPr="0055331D">
        <w:rPr>
          <w:rFonts w:ascii="Lato" w:hAnsi="Lato" w:cs="Times New Roman"/>
        </w:rPr>
        <w:t>k</w:t>
      </w:r>
      <w:r w:rsidRPr="0055331D">
        <w:rPr>
          <w:rFonts w:ascii="Lato" w:hAnsi="Lato" w:cs="Times New Roman"/>
        </w:rPr>
        <w:t xml:space="preserve">walifikowalny we wniosku o płatność przekazywanym do IOI w </w:t>
      </w:r>
      <w:r w:rsidR="008E686F" w:rsidRPr="0055331D">
        <w:rPr>
          <w:rFonts w:ascii="Lato" w:hAnsi="Lato" w:cs="Times New Roman"/>
        </w:rPr>
        <w:t xml:space="preserve">maksymalnym </w:t>
      </w:r>
      <w:r w:rsidRPr="0055331D">
        <w:rPr>
          <w:rFonts w:ascii="Lato" w:hAnsi="Lato" w:cs="Times New Roman"/>
        </w:rPr>
        <w:t xml:space="preserve">terminie 3 miesięcy od dnia jego </w:t>
      </w:r>
      <w:r w:rsidRPr="0055331D">
        <w:rPr>
          <w:rFonts w:ascii="Lato" w:hAnsi="Lato" w:cs="Times New Roman"/>
        </w:rPr>
        <w:lastRenderedPageBreak/>
        <w:t>poniesienia</w:t>
      </w:r>
      <w:r w:rsidR="009D43AC" w:rsidRPr="0055331D">
        <w:rPr>
          <w:rFonts w:ascii="Lato" w:hAnsi="Lato" w:cs="Times New Roman"/>
        </w:rPr>
        <w:t>, z zastrzeżeniem rozliczenia ostatniej transzy zaliczk</w:t>
      </w:r>
      <w:r w:rsidR="00DF1F6F">
        <w:rPr>
          <w:rFonts w:ascii="Lato" w:hAnsi="Lato" w:cs="Times New Roman"/>
        </w:rPr>
        <w:t>i</w:t>
      </w:r>
      <w:r w:rsidR="009D43AC" w:rsidRPr="0055331D">
        <w:rPr>
          <w:rFonts w:ascii="Lato" w:hAnsi="Lato" w:cs="Times New Roman"/>
        </w:rPr>
        <w:t xml:space="preserve">, o którym mowa w </w:t>
      </w:r>
      <w:r w:rsidR="009D43AC" w:rsidRPr="0055331D">
        <w:rPr>
          <w:rFonts w:ascii="Lato" w:hAnsi="Lato" w:cs="Arial"/>
          <w:b/>
        </w:rPr>
        <w:t xml:space="preserve">§ 6 </w:t>
      </w:r>
      <w:r w:rsidR="0086248D" w:rsidRPr="0055331D">
        <w:rPr>
          <w:rFonts w:ascii="Lato" w:hAnsi="Lato" w:cs="Arial"/>
          <w:b/>
        </w:rPr>
        <w:t>ust</w:t>
      </w:r>
      <w:r w:rsidR="009D43AC" w:rsidRPr="0055331D">
        <w:rPr>
          <w:rFonts w:ascii="Lato" w:hAnsi="Lato" w:cs="Arial"/>
          <w:b/>
        </w:rPr>
        <w:t>.</w:t>
      </w:r>
      <w:r w:rsidR="0086248D" w:rsidRPr="0055331D">
        <w:rPr>
          <w:rFonts w:ascii="Lato" w:hAnsi="Lato" w:cs="Arial"/>
          <w:b/>
        </w:rPr>
        <w:t xml:space="preserve"> </w:t>
      </w:r>
      <w:r w:rsidR="009D43AC" w:rsidRPr="0055331D">
        <w:rPr>
          <w:rFonts w:ascii="Lato" w:hAnsi="Lato" w:cs="Arial"/>
          <w:b/>
        </w:rPr>
        <w:t>3</w:t>
      </w:r>
      <w:r w:rsidR="009D43AC" w:rsidRPr="0055331D">
        <w:rPr>
          <w:rFonts w:ascii="Lato" w:hAnsi="Lato" w:cs="Arial"/>
        </w:rPr>
        <w:t xml:space="preserve"> </w:t>
      </w:r>
      <w:r w:rsidR="009D43AC" w:rsidRPr="0055331D">
        <w:rPr>
          <w:rFonts w:ascii="Lato" w:hAnsi="Lato" w:cs="Times New Roman"/>
          <w:b/>
          <w:bCs/>
        </w:rPr>
        <w:t>Umowy</w:t>
      </w:r>
      <w:r w:rsidR="009D43AC" w:rsidRPr="0055331D">
        <w:rPr>
          <w:rFonts w:ascii="Lato" w:hAnsi="Lato" w:cs="Times New Roman"/>
        </w:rPr>
        <w:t xml:space="preserve"> o objęcie przedsięwzięcia  wsparciem.</w:t>
      </w:r>
      <w:r w:rsidRPr="0055331D">
        <w:rPr>
          <w:rFonts w:ascii="Lato" w:hAnsi="Lato" w:cs="Times New Roman"/>
        </w:rPr>
        <w:t xml:space="preserve"> </w:t>
      </w:r>
    </w:p>
    <w:p w14:paraId="763AF98A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9EE09DA" w14:textId="4484BE41" w:rsidR="004D65A4" w:rsidRDefault="004D65A4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>Terminy, wysokość oraz formę przekazywania wsparcia 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Pr="0055331D">
        <w:rPr>
          <w:rFonts w:ascii="Lato" w:hAnsi="Lato" w:cs="Times New Roman"/>
        </w:rPr>
        <w:t>.</w:t>
      </w:r>
    </w:p>
    <w:p w14:paraId="5FD03B9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66A9298" w14:textId="77777777" w:rsidR="00D82647" w:rsidRDefault="00E811B4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0" w:name="_Hlk130560272"/>
      <w:r w:rsidRPr="00E4035F">
        <w:rPr>
          <w:rFonts w:ascii="Lato" w:hAnsi="Lato" w:cs="Times New Roman"/>
        </w:rPr>
        <w:t xml:space="preserve">W przypadku, gdy OOW nie poniósł w danym okresie sprawozdawczym </w:t>
      </w:r>
      <w:r w:rsidR="002D45F7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 w:rsidR="002D45F7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</w:t>
      </w:r>
      <w:r w:rsidR="00DF1F6F">
        <w:rPr>
          <w:rFonts w:ascii="Lato" w:hAnsi="Lato" w:cs="Times New Roman"/>
        </w:rPr>
        <w:t>wniosku o płatność</w:t>
      </w:r>
      <w:r w:rsidR="002D45F7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wypełniając go jedynie w części dotyczącej stanu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bookmarkEnd w:id="40"/>
      <w:r w:rsidRPr="00E4035F">
        <w:rPr>
          <w:rFonts w:ascii="Lato" w:hAnsi="Lato" w:cs="Times New Roman"/>
        </w:rPr>
        <w:t>.</w:t>
      </w:r>
    </w:p>
    <w:p w14:paraId="5186AEC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48010F89" w14:textId="0B64A301" w:rsidR="00DF1F6F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Złożenie wniosku o płatność i jego akceptacja przez IOI są warunkiem koniecznym do wypłaty kolejnej transzy</w:t>
      </w:r>
      <w:r w:rsidR="00206E26" w:rsidRPr="00D82647">
        <w:rPr>
          <w:rFonts w:ascii="Lato" w:hAnsi="Lato" w:cs="Times New Roman"/>
        </w:rPr>
        <w:t xml:space="preserve"> </w:t>
      </w:r>
      <w:r w:rsidR="004D4113">
        <w:rPr>
          <w:rFonts w:ascii="Lato" w:hAnsi="Lato" w:cs="Times New Roman"/>
        </w:rPr>
        <w:t>zaliczki</w:t>
      </w:r>
      <w:r w:rsidRPr="00D82647">
        <w:rPr>
          <w:rFonts w:ascii="Lato" w:hAnsi="Lato" w:cs="Times New Roman"/>
        </w:rPr>
        <w:t>. W przypadku drugiej transz</w:t>
      </w:r>
      <w:r w:rsidR="0015605B">
        <w:rPr>
          <w:rFonts w:ascii="Lato" w:hAnsi="Lato" w:cs="Times New Roman"/>
        </w:rPr>
        <w:t>y</w:t>
      </w:r>
      <w:r w:rsidRPr="00D82647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39F92E7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58A4DEB8" w14:textId="68AD05EB" w:rsidR="00DF1F6F" w:rsidRPr="00D82647" w:rsidRDefault="00DF1F6F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Kwota wsparcia dla OOW zostanie przekazana w formie zaliczki (w dwóch transzach).</w:t>
      </w:r>
    </w:p>
    <w:p w14:paraId="04C3D4A7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3ECB78D9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We wniosku o płatność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>wykazuje poniesione wydatki w ramach realizacji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, opisuje postęp rzeczowy z jego realizacji, osiągnięte wskaźniki oraz przedstawia zaktualizowany </w:t>
      </w:r>
      <w:r w:rsidR="00385EAE" w:rsidRPr="0055331D">
        <w:rPr>
          <w:rFonts w:ascii="Lato" w:hAnsi="Lato" w:cs="Times New Roman"/>
        </w:rPr>
        <w:t>H</w:t>
      </w:r>
      <w:r w:rsidRPr="0055331D">
        <w:rPr>
          <w:rFonts w:ascii="Lato" w:hAnsi="Lato" w:cs="Times New Roman"/>
        </w:rPr>
        <w:t xml:space="preserve">armonogram </w:t>
      </w:r>
      <w:r w:rsidR="00260C77" w:rsidRPr="0055331D">
        <w:rPr>
          <w:rFonts w:ascii="Lato" w:hAnsi="Lato" w:cs="Times New Roman"/>
        </w:rPr>
        <w:t>płatności</w:t>
      </w:r>
      <w:r w:rsidR="006B3937" w:rsidRPr="0055331D">
        <w:rPr>
          <w:rFonts w:ascii="Lato" w:hAnsi="Lato" w:cs="Times New Roman"/>
        </w:rPr>
        <w:t>.</w:t>
      </w:r>
    </w:p>
    <w:p w14:paraId="1EE7FCAB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E8C4311" w14:textId="590EAF0E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 przypadku zachowania przez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wszystkich wymaganych terminów dotyczących sprawozdawczości określonych w </w:t>
      </w:r>
      <w:r w:rsidR="00143148" w:rsidRPr="0055331D">
        <w:rPr>
          <w:rFonts w:ascii="Lato" w:hAnsi="Lato" w:cs="Times New Roman"/>
        </w:rPr>
        <w:t>U</w:t>
      </w:r>
      <w:r w:rsidRPr="0055331D">
        <w:rPr>
          <w:rFonts w:ascii="Lato" w:hAnsi="Lato" w:cs="Times New Roman"/>
        </w:rPr>
        <w:t xml:space="preserve">mowie o objęciu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wsparciem, IOI zatwierdza wniosek o płatność nie później niż w terminie </w:t>
      </w:r>
      <w:r w:rsidR="00DF1F6F">
        <w:rPr>
          <w:rFonts w:ascii="Lato" w:hAnsi="Lato" w:cs="Times New Roman"/>
        </w:rPr>
        <w:t>6</w:t>
      </w:r>
      <w:r w:rsidR="009469B6" w:rsidRPr="0055331D">
        <w:rPr>
          <w:rFonts w:ascii="Lato" w:hAnsi="Lato" w:cs="Times New Roman"/>
        </w:rPr>
        <w:t xml:space="preserve">0 </w:t>
      </w:r>
      <w:r w:rsidRPr="0055331D">
        <w:rPr>
          <w:rFonts w:ascii="Lato" w:hAnsi="Lato" w:cs="Times New Roman"/>
        </w:rPr>
        <w:t xml:space="preserve">dni kalendarzowych od dnia przedłożenia </w:t>
      </w:r>
      <w:r w:rsidR="00033EE7" w:rsidRPr="0055331D">
        <w:rPr>
          <w:rFonts w:ascii="Lato" w:hAnsi="Lato" w:cs="Times New Roman"/>
        </w:rPr>
        <w:t xml:space="preserve">aktualnej </w:t>
      </w:r>
      <w:r w:rsidRPr="0055331D">
        <w:rPr>
          <w:rFonts w:ascii="Lato" w:hAnsi="Lato" w:cs="Times New Roman"/>
        </w:rPr>
        <w:t xml:space="preserve"> wersji wniosku o płatność. </w:t>
      </w:r>
    </w:p>
    <w:p w14:paraId="65F5EF5D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494BB69F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IOI może wezwać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do złożenia dokumentów dotyczących </w:t>
      </w:r>
      <w:r w:rsidR="002E0783" w:rsidRPr="0055331D">
        <w:rPr>
          <w:rFonts w:ascii="Lato" w:hAnsi="Lato" w:cs="Times New Roman"/>
        </w:rPr>
        <w:t>p</w:t>
      </w:r>
      <w:r w:rsidR="00AB47FB" w:rsidRPr="0055331D">
        <w:rPr>
          <w:rFonts w:ascii="Lato" w:hAnsi="Lato" w:cs="Times New Roman"/>
        </w:rPr>
        <w:t xml:space="preserve">rzedsięwzięcia. </w:t>
      </w:r>
      <w:r w:rsidRPr="0055331D">
        <w:rPr>
          <w:rFonts w:ascii="Lato" w:hAnsi="Lato" w:cs="Times New Roman"/>
        </w:rPr>
        <w:t xml:space="preserve">IOI może także dokonać uzupełnienia lub poprawienia </w:t>
      </w:r>
      <w:r w:rsidR="00415501" w:rsidRPr="0055331D">
        <w:rPr>
          <w:rFonts w:ascii="Lato" w:hAnsi="Lato" w:cs="Times New Roman"/>
        </w:rPr>
        <w:t>formularza sprawozdawczego</w:t>
      </w:r>
      <w:r w:rsidR="001C23B8" w:rsidRPr="0055331D">
        <w:rPr>
          <w:rFonts w:ascii="Lato" w:hAnsi="Lato" w:cs="Times New Roman"/>
        </w:rPr>
        <w:t xml:space="preserve"> wniosku o płatność</w:t>
      </w:r>
      <w:r w:rsidRPr="0055331D">
        <w:rPr>
          <w:rFonts w:ascii="Lato" w:hAnsi="Lato" w:cs="Times New Roman"/>
        </w:rPr>
        <w:t xml:space="preserve">, o czym informuje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lub wzywa </w:t>
      </w:r>
      <w:r w:rsidR="00AB47FB" w:rsidRPr="0055331D">
        <w:rPr>
          <w:rFonts w:ascii="Lato" w:hAnsi="Lato" w:cs="Times New Roman"/>
        </w:rPr>
        <w:t>OO</w:t>
      </w:r>
      <w:r w:rsidR="001C23B8" w:rsidRPr="0055331D">
        <w:rPr>
          <w:rFonts w:ascii="Lato" w:hAnsi="Lato" w:cs="Times New Roman"/>
        </w:rPr>
        <w:t>W</w:t>
      </w:r>
      <w:r w:rsidR="00AB47FB" w:rsidRPr="0055331D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>do poprawienia lub uzupełnienia wniosku o płatność lub złożenia dodatkowych wyjaśnień w wyznaczonym terminie.</w:t>
      </w:r>
    </w:p>
    <w:p w14:paraId="78A9DBEF" w14:textId="77777777" w:rsidR="0055331D" w:rsidRPr="0055331D" w:rsidRDefault="0055331D" w:rsidP="0055331D">
      <w:pPr>
        <w:pStyle w:val="Akapitzlist"/>
        <w:rPr>
          <w:rStyle w:val="ui-provider"/>
          <w:rFonts w:ascii="Lato" w:hAnsi="Lato"/>
          <w:sz w:val="6"/>
          <w:szCs w:val="6"/>
        </w:rPr>
      </w:pPr>
    </w:p>
    <w:p w14:paraId="757A5B93" w14:textId="6D75F00C" w:rsidR="0055331D" w:rsidRDefault="00620DC1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Style w:val="ui-provider"/>
          <w:rFonts w:ascii="Lato" w:hAnsi="Lato"/>
        </w:rPr>
        <w:t>OOW zobowiązany jest do złożenia wniosku o wypłatę ostatniej  zalicz</w:t>
      </w:r>
      <w:r w:rsidR="00DF1F6F">
        <w:rPr>
          <w:rStyle w:val="ui-provider"/>
          <w:rFonts w:ascii="Lato" w:hAnsi="Lato"/>
        </w:rPr>
        <w:t>ki</w:t>
      </w:r>
      <w:r w:rsidRPr="0055331D">
        <w:rPr>
          <w:rStyle w:val="ui-provider"/>
          <w:rFonts w:ascii="Lato" w:hAnsi="Lato"/>
        </w:rPr>
        <w:t xml:space="preserve"> w nieprzekraczalnym terminie do 31 marca 2026 r.</w:t>
      </w:r>
      <w:r w:rsidR="00DF1F6F">
        <w:rPr>
          <w:rStyle w:val="ui-provider"/>
          <w:rFonts w:ascii="Lato" w:hAnsi="Lato"/>
        </w:rPr>
        <w:t xml:space="preserve"> </w:t>
      </w:r>
    </w:p>
    <w:p w14:paraId="72181554" w14:textId="77777777" w:rsidR="0055331D" w:rsidRPr="00D82647" w:rsidRDefault="0055331D" w:rsidP="00D82647">
      <w:pPr>
        <w:rPr>
          <w:rFonts w:ascii="Lato" w:hAnsi="Lato" w:cs="Times New Roman"/>
          <w:sz w:val="6"/>
          <w:szCs w:val="6"/>
        </w:rPr>
      </w:pPr>
    </w:p>
    <w:p w14:paraId="3DD2610B" w14:textId="518F2280" w:rsidR="0055331D" w:rsidRPr="00D82647" w:rsidRDefault="0077452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/>
        </w:rPr>
      </w:pPr>
      <w:r w:rsidRPr="0055331D">
        <w:rPr>
          <w:rFonts w:ascii="Lato" w:hAnsi="Lato" w:cs="Times New Roman"/>
        </w:rPr>
        <w:t>Wniosek o płatność rozliczający ostatnią  zaliczk</w:t>
      </w:r>
      <w:r w:rsidR="00DF1F6F">
        <w:rPr>
          <w:rFonts w:ascii="Lato" w:hAnsi="Lato" w:cs="Times New Roman"/>
        </w:rPr>
        <w:t>ę</w:t>
      </w:r>
      <w:r w:rsidRPr="0055331D">
        <w:rPr>
          <w:rFonts w:ascii="Lato" w:hAnsi="Lato" w:cs="Times New Roman"/>
        </w:rPr>
        <w:t xml:space="preserve"> </w:t>
      </w:r>
      <w:r w:rsidR="00DC42D9" w:rsidRPr="0055331D">
        <w:rPr>
          <w:rFonts w:ascii="Lato" w:hAnsi="Lato" w:cs="Times New Roman"/>
        </w:rPr>
        <w:t>składa się z części merytorycznej oraz finansowej i stanowi podstawę do końcowego rozliczenia</w:t>
      </w:r>
      <w:r w:rsidR="00AB47FB" w:rsidRPr="0055331D">
        <w:rPr>
          <w:rFonts w:ascii="Lato" w:hAnsi="Lato" w:cs="Times New Roman"/>
        </w:rPr>
        <w:t xml:space="preserve"> przedsięwzięcia</w:t>
      </w:r>
      <w:r w:rsidR="00DC42D9" w:rsidRPr="0055331D">
        <w:rPr>
          <w:rFonts w:ascii="Lato" w:hAnsi="Lato" w:cs="Times New Roman"/>
        </w:rPr>
        <w:t xml:space="preserve">. </w:t>
      </w:r>
      <w:r w:rsidR="00620DC1" w:rsidRPr="0055331D">
        <w:rPr>
          <w:rStyle w:val="ui-provider"/>
          <w:rFonts w:ascii="Lato" w:hAnsi="Lato"/>
        </w:rPr>
        <w:t xml:space="preserve">Przedstawienie rozliczenia ostatniej transzy zaliczkowej musi nastąpić w nieprzekraczalnym terminie </w:t>
      </w:r>
      <w:r w:rsidR="00620DC1" w:rsidRPr="00D82647">
        <w:rPr>
          <w:rStyle w:val="ui-provider"/>
          <w:rFonts w:ascii="Lato" w:hAnsi="Lato"/>
        </w:rPr>
        <w:t>do 8 czerwca 2026 r</w:t>
      </w:r>
      <w:r w:rsidR="00620DC1" w:rsidRPr="0055331D">
        <w:rPr>
          <w:rStyle w:val="ui-provider"/>
          <w:rFonts w:ascii="Lato" w:hAnsi="Lato"/>
          <w:sz w:val="22"/>
          <w:szCs w:val="22"/>
        </w:rPr>
        <w:t>.</w:t>
      </w:r>
    </w:p>
    <w:p w14:paraId="4AE1B1BF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3CF2E26" w14:textId="5A465B1F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Merytoryczna część </w:t>
      </w:r>
      <w:r w:rsidR="00774529" w:rsidRPr="0055331D">
        <w:rPr>
          <w:rFonts w:ascii="Lato" w:hAnsi="Lato" w:cs="Times New Roman"/>
        </w:rPr>
        <w:t xml:space="preserve">wniosku </w:t>
      </w:r>
      <w:r w:rsidR="00DF1F6F">
        <w:rPr>
          <w:rFonts w:ascii="Lato" w:hAnsi="Lato" w:cs="Times New Roman"/>
        </w:rPr>
        <w:t xml:space="preserve">rozliczającego </w:t>
      </w:r>
      <w:r w:rsidR="00774529" w:rsidRPr="0055331D">
        <w:rPr>
          <w:rFonts w:ascii="Lato" w:hAnsi="Lato" w:cs="Times New Roman"/>
        </w:rPr>
        <w:t>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zawierać opis podjętych działań w ramach realizacji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ze szczególnym zwróceniem uwagi na wnioski, opis zrealizowanych wskaźników i osiągniętych rezultatów, problemy na jakie napotkał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 trakcie realizacji 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. Opis ten powinien odnosić się do całości </w:t>
      </w:r>
      <w:r w:rsidR="00AB47FB" w:rsidRPr="0055331D">
        <w:rPr>
          <w:rFonts w:ascii="Lato" w:hAnsi="Lato" w:cs="Times New Roman"/>
        </w:rPr>
        <w:t xml:space="preserve"> </w:t>
      </w:r>
      <w:r w:rsidR="00022927" w:rsidRPr="0055331D">
        <w:rPr>
          <w:rFonts w:ascii="Lato" w:hAnsi="Lato" w:cs="Times New Roman"/>
        </w:rPr>
        <w:t>przedsięwzięcia</w:t>
      </w:r>
      <w:r w:rsidRPr="0055331D">
        <w:rPr>
          <w:rFonts w:ascii="Lato" w:hAnsi="Lato" w:cs="Times New Roman"/>
        </w:rPr>
        <w:t xml:space="preserve">. </w:t>
      </w:r>
    </w:p>
    <w:p w14:paraId="5E2A39DA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56C21A2" w14:textId="300963B8" w:rsidR="00DC42D9" w:rsidRPr="00D82647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Finansowa część </w:t>
      </w:r>
      <w:r w:rsidR="00774529" w:rsidRPr="0055331D">
        <w:rPr>
          <w:rFonts w:ascii="Lato" w:hAnsi="Lato" w:cs="Times New Roman"/>
        </w:rPr>
        <w:t>wniosku o płatność rozliczając</w:t>
      </w:r>
      <w:r w:rsidR="00E811B4" w:rsidRPr="0055331D">
        <w:rPr>
          <w:rFonts w:ascii="Lato" w:hAnsi="Lato" w:cs="Times New Roman"/>
        </w:rPr>
        <w:t>ego</w:t>
      </w:r>
      <w:r w:rsidR="00774529" w:rsidRPr="0055331D">
        <w:rPr>
          <w:rFonts w:ascii="Lato" w:hAnsi="Lato" w:cs="Times New Roman"/>
        </w:rPr>
        <w:t xml:space="preserve"> 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dostarczyć informacji do oceny kwalifikowalności poniesionych wydatków w raportowanym okresie, ostatecznego wyliczenia należnej kwoty </w:t>
      </w:r>
      <w:r w:rsidR="002660E5" w:rsidRPr="0055331D">
        <w:rPr>
          <w:rFonts w:ascii="Lato" w:hAnsi="Lato" w:cs="Times New Roman"/>
        </w:rPr>
        <w:t xml:space="preserve">środków </w:t>
      </w:r>
      <w:r w:rsidRPr="0055331D">
        <w:rPr>
          <w:rFonts w:ascii="Lato" w:hAnsi="Lato" w:cs="Times New Roman"/>
        </w:rPr>
        <w:t xml:space="preserve">oraz </w:t>
      </w:r>
      <w:r w:rsidRPr="0055331D">
        <w:rPr>
          <w:rFonts w:ascii="Lato" w:hAnsi="Lato" w:cs="Times New Roman"/>
        </w:rPr>
        <w:lastRenderedPageBreak/>
        <w:t>ustalenia wysokości ewentualnej kwoty zwrotu należności</w:t>
      </w:r>
      <w:r w:rsidR="00DF1F6F">
        <w:rPr>
          <w:rFonts w:ascii="Lato" w:hAnsi="Lato" w:cs="Times New Roman"/>
        </w:rPr>
        <w:t xml:space="preserve"> </w:t>
      </w:r>
      <w:r w:rsidR="00DF1F6F" w:rsidRPr="00DF1F6F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78D5B19B" w14:textId="77777777" w:rsidR="008D1E8C" w:rsidRPr="00E4035F" w:rsidRDefault="008D1E8C" w:rsidP="008D1E8C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  <w:color w:val="4F81BC"/>
        </w:rPr>
      </w:pPr>
    </w:p>
    <w:p w14:paraId="22CD4492" w14:textId="77777777" w:rsidR="00814D42" w:rsidRPr="00A0243A" w:rsidRDefault="00814D42" w:rsidP="00814D4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1" w:name="_Toc149032798"/>
      <w:bookmarkStart w:id="42" w:name="_Toc215840756"/>
      <w:bookmarkStart w:id="43" w:name="_Toc127872629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1"/>
      <w:bookmarkEnd w:id="42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7CC6224" w14:textId="77777777" w:rsidR="00814D42" w:rsidRPr="00F42A2D" w:rsidRDefault="00814D42" w:rsidP="00814D42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22.</w:t>
      </w:r>
    </w:p>
    <w:p w14:paraId="50403225" w14:textId="77777777" w:rsidR="00836100" w:rsidRDefault="00814D42" w:rsidP="00836100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836100">
        <w:rPr>
          <w:rFonts w:ascii="Lato" w:hAnsi="Lato" w:cs="Times New Roman"/>
        </w:rPr>
        <w:t>, tj.:</w:t>
      </w:r>
    </w:p>
    <w:p w14:paraId="16AAEBAC" w14:textId="361FD42A" w:rsidR="003A0130" w:rsidRP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>wykorzystane niezgodnie z przeznaczeniem,</w:t>
      </w:r>
    </w:p>
    <w:p w14:paraId="621D4190" w14:textId="77777777" w:rsid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 xml:space="preserve">wykorzystane z naruszeniem procedur obowiązujących przy ich wykorzystaniu, w tym postanowień umowy, o której mowa w art. 14lzh </w:t>
      </w:r>
      <w:r>
        <w:t xml:space="preserve"> </w:t>
      </w:r>
      <w:r w:rsidRPr="003A0130">
        <w:rPr>
          <w:rFonts w:ascii="Lato" w:hAnsi="Lato"/>
        </w:rPr>
        <w:t>u</w:t>
      </w:r>
      <w:r w:rsidRPr="003A0130">
        <w:rPr>
          <w:rFonts w:ascii="Lato" w:hAnsi="Lato" w:cs="Times New Roman"/>
        </w:rPr>
        <w:t>stawy z dnia 6 grudnia 2006 r. o zasadach prowadzenia polityki rozwoju,</w:t>
      </w:r>
    </w:p>
    <w:p w14:paraId="36DDD565" w14:textId="3A2615C0" w:rsidR="00814D42" w:rsidRP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>pobrane nienależnie lub w nadmiernej wysokości.</w:t>
      </w:r>
    </w:p>
    <w:p w14:paraId="7750671E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zobowiązany jest do zwrotu całości wypłaconych środków, </w:t>
      </w:r>
      <w:r>
        <w:rPr>
          <w:rFonts w:ascii="Lato" w:hAnsi="Lato" w:cs="Times New Roman"/>
        </w:rPr>
        <w:t xml:space="preserve">również </w:t>
      </w:r>
      <w:r w:rsidRPr="00E4035F">
        <w:rPr>
          <w:rFonts w:ascii="Lato" w:hAnsi="Lato" w:cs="Times New Roman"/>
        </w:rPr>
        <w:t>jeżeli:</w:t>
      </w:r>
    </w:p>
    <w:p w14:paraId="6290EB86" w14:textId="2590D9BD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</w:t>
      </w:r>
    </w:p>
    <w:p w14:paraId="6CA856CF" w14:textId="77777777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11728F4" w14:textId="1DC11644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będzie zobowiązany do zwrotu wsparcia (w całości lub części</w:t>
      </w:r>
      <w:r w:rsidR="00836100">
        <w:rPr>
          <w:rFonts w:ascii="Lato" w:hAnsi="Lato" w:cs="Times New Roman"/>
        </w:rPr>
        <w:t xml:space="preserve"> </w:t>
      </w:r>
      <w:r w:rsidR="00836100" w:rsidRPr="00836100">
        <w:rPr>
          <w:rFonts w:ascii="Lato" w:hAnsi="Lato" w:cs="Times New Roman"/>
        </w:rPr>
        <w:t>stanowiącej wydatek niekwalifikowalny</w:t>
      </w:r>
      <w:r w:rsidRPr="00E4035F">
        <w:rPr>
          <w:rFonts w:ascii="Lato" w:hAnsi="Lato" w:cs="Times New Roman"/>
        </w:rPr>
        <w:t xml:space="preserve">) jeżeli:  </w:t>
      </w:r>
    </w:p>
    <w:p w14:paraId="408AE5E4" w14:textId="3437B067" w:rsidR="00814D42" w:rsidRPr="008D1E8C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814D42" w:rsidRPr="00E4035F">
        <w:rPr>
          <w:rFonts w:ascii="Lato" w:hAnsi="Lato" w:cs="Times New Roman"/>
        </w:rPr>
        <w:t xml:space="preserve"> </w:t>
      </w:r>
      <w:r w:rsidR="00814D42" w:rsidRPr="00E4035F">
        <w:rPr>
          <w:rFonts w:ascii="Lato" w:hAnsi="Lato" w:cs="Times New Roman"/>
          <w:color w:val="auto"/>
        </w:rPr>
        <w:t xml:space="preserve">jednocześnie stypendium rektora, o którym mowa w art. 86 ust. 1 pkt 4 ustawy – Prawo o szkolnictwie wyższym i nauce studentom </w:t>
      </w:r>
      <w:r>
        <w:rPr>
          <w:rFonts w:ascii="Lato" w:hAnsi="Lato" w:cs="Times New Roman"/>
          <w:color w:val="auto"/>
        </w:rPr>
        <w:t xml:space="preserve">którzy otrzymali wsparcie </w:t>
      </w:r>
      <w:r w:rsidR="00814D42" w:rsidRPr="00E4035F">
        <w:rPr>
          <w:rFonts w:ascii="Lato" w:hAnsi="Lato" w:cs="Times New Roman"/>
          <w:color w:val="auto"/>
        </w:rPr>
        <w:t xml:space="preserve"> w</w:t>
      </w:r>
      <w:r>
        <w:rPr>
          <w:rFonts w:ascii="Lato" w:hAnsi="Lato" w:cs="Times New Roman"/>
          <w:color w:val="auto"/>
        </w:rPr>
        <w:t xml:space="preserve"> ramach</w:t>
      </w:r>
      <w:r w:rsidR="00814D42" w:rsidRPr="00E4035F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 w:rsidRPr="00E4035F">
        <w:rPr>
          <w:rFonts w:ascii="Lato" w:hAnsi="Lato" w:cs="Times New Roman"/>
          <w:color w:val="auto"/>
        </w:rPr>
        <w:t xml:space="preserve"> 1 Systemu zachęt</w:t>
      </w:r>
      <w:r w:rsidR="008D1E8C">
        <w:rPr>
          <w:rFonts w:ascii="Lato" w:hAnsi="Lato" w:cs="Times New Roman"/>
          <w:color w:val="auto"/>
        </w:rPr>
        <w:t>,</w:t>
      </w:r>
    </w:p>
    <w:p w14:paraId="4DBA2CBF" w14:textId="77777777" w:rsidR="008D1E8C" w:rsidRPr="008D1E8C" w:rsidRDefault="008D1E8C" w:rsidP="008D1E8C">
      <w:pPr>
        <w:pStyle w:val="Default"/>
        <w:spacing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2BA24015" w14:textId="57771C7C" w:rsidR="00814D42" w:rsidRPr="00526C57" w:rsidRDefault="0005370E" w:rsidP="00814D42">
      <w:pPr>
        <w:pStyle w:val="Akapitzlist"/>
        <w:numPr>
          <w:ilvl w:val="0"/>
          <w:numId w:val="58"/>
        </w:numPr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eastAsiaTheme="minorHAnsi" w:hAnsi="Lato" w:cs="Times New Roman"/>
          <w:color w:val="000000"/>
          <w:lang w:eastAsia="en-US"/>
        </w:rPr>
        <w:t xml:space="preserve">wypłaci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814D42">
        <w:rPr>
          <w:rFonts w:ascii="Lato" w:eastAsiaTheme="minorHAnsi" w:hAnsi="Lato" w:cs="Times New Roman"/>
          <w:color w:val="000000"/>
          <w:lang w:eastAsia="en-US"/>
        </w:rPr>
        <w:t xml:space="preserve">studentowi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jednocześnie wsparcie na więcej niż jeden kierunek objęty wsparciem w ramach Działania </w:t>
      </w:r>
      <w:r w:rsidR="00814D42">
        <w:rPr>
          <w:rFonts w:ascii="Lato" w:eastAsiaTheme="minorHAnsi" w:hAnsi="Lato" w:cs="Times New Roman"/>
          <w:color w:val="000000"/>
          <w:lang w:eastAsia="en-US"/>
        </w:rPr>
        <w:t>1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</w:p>
    <w:p w14:paraId="0A8140D2" w14:textId="6A19F5E5" w:rsidR="00814D42" w:rsidRPr="001C6BCF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auto"/>
        </w:rPr>
        <w:t>wypłaci</w:t>
      </w:r>
      <w:r w:rsidR="00814D42">
        <w:rPr>
          <w:rFonts w:ascii="Lato" w:hAnsi="Lato" w:cs="Times New Roman"/>
          <w:color w:val="auto"/>
        </w:rPr>
        <w:t xml:space="preserve"> jednocześnie wsparcie w ramach Działania 2 lub Działania 3 Systemu zachęt studentom stanowiącym grupę docelową wsparcia w</w:t>
      </w:r>
      <w:r w:rsidR="00100438">
        <w:rPr>
          <w:rFonts w:ascii="Lato" w:hAnsi="Lato" w:cs="Times New Roman"/>
          <w:color w:val="auto"/>
        </w:rPr>
        <w:t xml:space="preserve"> ramach</w:t>
      </w:r>
      <w:r w:rsidR="00814D42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>
        <w:rPr>
          <w:rFonts w:ascii="Lato" w:hAnsi="Lato" w:cs="Times New Roman"/>
          <w:color w:val="auto"/>
        </w:rPr>
        <w:t xml:space="preserve"> 1</w:t>
      </w:r>
      <w:r w:rsidR="008D1E8C">
        <w:rPr>
          <w:rFonts w:ascii="Lato" w:hAnsi="Lato" w:cs="Times New Roman"/>
          <w:color w:val="auto"/>
        </w:rPr>
        <w:t>,</w:t>
      </w:r>
    </w:p>
    <w:p w14:paraId="1BA06DF1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 pr</w:t>
      </w:r>
      <w:r>
        <w:rPr>
          <w:rFonts w:ascii="Lato" w:hAnsi="Lato" w:cs="Times New Roman"/>
        </w:rPr>
        <w:t>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74A66C1F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wydatkował przyznane środki z KPO na podatek od towarów i usług. </w:t>
      </w:r>
    </w:p>
    <w:p w14:paraId="2F8EDC9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16B18C76" w14:textId="77777777" w:rsidR="00814D42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Jeżeli OOW nie dokona zwrotu w określonym terminie</w:t>
      </w:r>
      <w:r>
        <w:rPr>
          <w:rFonts w:ascii="Lato" w:hAnsi="Lato" w:cs="Times New Roman"/>
        </w:rPr>
        <w:t xml:space="preserve"> IOI podejmuje czynności zmierzające do odzyskania środków.</w:t>
      </w:r>
    </w:p>
    <w:p w14:paraId="34664B2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Środki podlegają zwrotowi wraz z</w:t>
      </w:r>
      <w:r w:rsidRPr="00E4035F">
        <w:rPr>
          <w:rFonts w:ascii="Lato" w:hAnsi="Lato" w:cs="Times New Roman"/>
        </w:rPr>
        <w:t xml:space="preserve"> odsetk</w:t>
      </w:r>
      <w:r>
        <w:rPr>
          <w:rFonts w:ascii="Lato" w:hAnsi="Lato" w:cs="Times New Roman"/>
        </w:rPr>
        <w:t>am</w:t>
      </w:r>
      <w:r w:rsidRPr="00E4035F">
        <w:rPr>
          <w:rFonts w:ascii="Lato" w:hAnsi="Lato" w:cs="Times New Roman"/>
        </w:rPr>
        <w:t>i</w:t>
      </w:r>
      <w:r>
        <w:rPr>
          <w:rFonts w:ascii="Lato" w:hAnsi="Lato" w:cs="Times New Roman"/>
        </w:rPr>
        <w:t xml:space="preserve"> określonymi</w:t>
      </w:r>
      <w:r w:rsidRPr="00E4035F">
        <w:rPr>
          <w:rFonts w:ascii="Lato" w:hAnsi="Lato" w:cs="Times New Roman"/>
        </w:rPr>
        <w:t xml:space="preserve"> jak dla zaległości podatkowych</w:t>
      </w:r>
      <w:r>
        <w:rPr>
          <w:rFonts w:ascii="Lato" w:hAnsi="Lato" w:cs="Times New Roman"/>
        </w:rPr>
        <w:t>, liczonymi</w:t>
      </w:r>
      <w:r w:rsidRPr="00E4035F">
        <w:rPr>
          <w:rFonts w:ascii="Lato" w:hAnsi="Lato" w:cs="Times New Roman"/>
        </w:rPr>
        <w:t xml:space="preserve"> od dnia przekazania środków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bookmarkEnd w:id="43"/>
    <w:p w14:paraId="4E8E54C3" w14:textId="77777777" w:rsidR="008F08EA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079B4222" w14:textId="77777777" w:rsidR="00CC4E68" w:rsidRPr="00CD6E29" w:rsidRDefault="00CC4E68" w:rsidP="00CC4E6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4" w:name="_Toc215840757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8"/>
      </w:r>
      <w:bookmarkEnd w:id="44"/>
    </w:p>
    <w:p w14:paraId="6A44B8D3" w14:textId="74BC5C44" w:rsidR="00CC4E68" w:rsidRDefault="00CC4E68" w:rsidP="00CC4E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2</w:t>
      </w:r>
      <w:r w:rsidR="0075146E">
        <w:rPr>
          <w:rFonts w:ascii="Lato" w:eastAsiaTheme="minorHAnsi" w:hAnsi="Lato" w:cs="Times New Roman"/>
          <w:b/>
          <w:bCs/>
          <w:lang w:eastAsia="en-US"/>
        </w:rPr>
        <w:t>3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9736E20" w14:textId="52B83E2F" w:rsidR="00CC4E68" w:rsidRDefault="00CC4E68" w:rsidP="00CC4E68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W</w:t>
      </w:r>
      <w:r w:rsidRPr="00CD6E29">
        <w:rPr>
          <w:rFonts w:ascii="Lato" w:eastAsiaTheme="minorHAnsi" w:hAnsi="Lato" w:cs="Times New Roman"/>
          <w:lang w:eastAsia="en-US"/>
        </w:rPr>
        <w:t>arunkiem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0E41E6">
        <w:rPr>
          <w:rFonts w:ascii="Lato" w:eastAsiaTheme="minorHAnsi" w:hAnsi="Lato" w:cs="Times New Roman"/>
          <w:lang w:eastAsia="en-US"/>
        </w:rPr>
        <w:t xml:space="preserve">przekazania </w:t>
      </w:r>
      <w:r>
        <w:rPr>
          <w:rFonts w:ascii="Lato" w:eastAsiaTheme="minorHAnsi" w:hAnsi="Lato" w:cs="Times New Roman"/>
          <w:lang w:eastAsia="en-US"/>
        </w:rPr>
        <w:t>wsparcia</w:t>
      </w:r>
      <w:r w:rsidRPr="000E41E6">
        <w:rPr>
          <w:rFonts w:ascii="Lato" w:eastAsiaTheme="minorHAnsi" w:hAnsi="Lato" w:cs="Times New Roman"/>
          <w:lang w:eastAsia="en-US"/>
        </w:rPr>
        <w:t xml:space="preserve"> jest ustanowienie przez Ostatecznego Odbiorcę Wsparcia</w:t>
      </w:r>
      <w:r>
        <w:rPr>
          <w:rFonts w:ascii="Lato" w:eastAsiaTheme="minorHAnsi" w:hAnsi="Lato" w:cs="Times New Roman"/>
          <w:lang w:eastAsia="en-US"/>
        </w:rPr>
        <w:t xml:space="preserve"> z</w:t>
      </w:r>
      <w:r w:rsidRPr="000E41E6">
        <w:rPr>
          <w:rFonts w:ascii="Lato" w:eastAsiaTheme="minorHAnsi" w:hAnsi="Lato" w:cs="Times New Roman"/>
          <w:lang w:eastAsia="en-US"/>
        </w:rPr>
        <w:t>abezpieczenia należytego wykonania zobowiązań wynikających z umowy</w:t>
      </w:r>
      <w:r>
        <w:rPr>
          <w:rFonts w:ascii="Lato" w:eastAsiaTheme="minorHAnsi" w:hAnsi="Lato" w:cs="Times New Roman"/>
          <w:lang w:eastAsia="en-US"/>
        </w:rPr>
        <w:t>.</w:t>
      </w:r>
      <w:r w:rsidR="00836100">
        <w:rPr>
          <w:rFonts w:ascii="Lato" w:eastAsiaTheme="minorHAnsi" w:hAnsi="Lato" w:cs="Times New Roman"/>
          <w:lang w:eastAsia="en-US"/>
        </w:rPr>
        <w:t xml:space="preserve"> </w:t>
      </w:r>
      <w:r w:rsidR="00836100" w:rsidRPr="00836100">
        <w:rPr>
          <w:rFonts w:ascii="Lato" w:eastAsiaTheme="minorHAnsi" w:hAnsi="Lato" w:cs="Times New Roman"/>
          <w:lang w:eastAsia="en-US"/>
        </w:rPr>
        <w:t>Zabezpieczeniem prawidłowej realizacji umowy jest składany przez OOW, nie później niż w terminie złożenia pierwszego wniosku o płatność,  weksel in blanco opatrzony klauzulą „bez protestu” wraz z podpisaną deklaracją wekslową.</w:t>
      </w:r>
    </w:p>
    <w:p w14:paraId="0C54A056" w14:textId="77777777" w:rsidR="00CC4E68" w:rsidRPr="00F06FFB" w:rsidRDefault="00CC4E68" w:rsidP="00CC4E68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62FCB34A" w14:textId="0F2B91B1" w:rsidR="0001251A" w:rsidRPr="00A66A74" w:rsidRDefault="00CC4E68" w:rsidP="000706E5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5069E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2923DD40" w14:textId="77777777" w:rsidR="008F08EA" w:rsidRPr="00E4035F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5" w:name="mip66902325"/>
      <w:bookmarkStart w:id="46" w:name="mip66902326"/>
      <w:bookmarkStart w:id="47" w:name="_Toc127872638"/>
      <w:bookmarkStart w:id="48" w:name="_Toc215840758"/>
      <w:bookmarkEnd w:id="45"/>
      <w:bookmarkEnd w:id="46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47"/>
      <w:bookmarkEnd w:id="48"/>
    </w:p>
    <w:p w14:paraId="6FB05A99" w14:textId="1E0C93A8" w:rsidR="00434BC9" w:rsidRPr="008630B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r w:rsidRPr="008630BC">
        <w:rPr>
          <w:rFonts w:ascii="Lato" w:eastAsia="Times New Roman" w:hAnsi="Lato" w:cs="Times New Roman"/>
          <w:b/>
          <w:bCs/>
        </w:rPr>
        <w:t>§ 2</w:t>
      </w:r>
      <w:r w:rsidR="0075146E">
        <w:rPr>
          <w:rFonts w:ascii="Lato" w:eastAsia="Times New Roman" w:hAnsi="Lato" w:cs="Times New Roman"/>
          <w:b/>
          <w:bCs/>
        </w:rPr>
        <w:t>4</w:t>
      </w:r>
      <w:r w:rsidRPr="008630BC">
        <w:rPr>
          <w:rFonts w:ascii="Lato" w:eastAsia="Times New Roman" w:hAnsi="Lato" w:cs="Times New Roman"/>
          <w:b/>
          <w:bCs/>
        </w:rPr>
        <w:t>.</w:t>
      </w:r>
    </w:p>
    <w:p w14:paraId="7CAE6FC0" w14:textId="5C455B86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Przedsięwzięcia realizowane będą ze środków KPO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3E1A30BF" w14:textId="77777777" w:rsidR="005624E8" w:rsidRPr="005624E8" w:rsidRDefault="005624E8" w:rsidP="005624E8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749853FC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80DF3E7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44BBBCFE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708062B8" w14:textId="33101B47" w:rsidR="00A36EE2" w:rsidRPr="00A66A74" w:rsidRDefault="00916905" w:rsidP="00A66A7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Theme="minorHAnsi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7B3CE219" w14:textId="77777777" w:rsidR="00836100" w:rsidRPr="00651926" w:rsidRDefault="00836100" w:rsidP="00836100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9" w:name="_Toc197702164"/>
      <w:bookmarkStart w:id="50" w:name="_Toc204162493"/>
      <w:bookmarkStart w:id="51" w:name="_Toc215840759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49"/>
      <w:bookmarkEnd w:id="50"/>
      <w:bookmarkEnd w:id="51"/>
    </w:p>
    <w:p w14:paraId="69BACECB" w14:textId="77777777" w:rsidR="00836100" w:rsidRDefault="00836100" w:rsidP="00836100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E9C29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</w:t>
      </w:r>
      <w:r w:rsidRPr="003B5551">
        <w:rPr>
          <w:rFonts w:ascii="Lato" w:eastAsiaTheme="minorHAnsi" w:hAnsi="Lato" w:cs="Times New Roman"/>
          <w:lang w:eastAsia="en-US"/>
        </w:rPr>
        <w:lastRenderedPageBreak/>
        <w:t>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07EC03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044A0F89" w14:textId="77777777" w:rsidR="00836100" w:rsidRPr="00204479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637006B7" w14:textId="77777777" w:rsidR="00A36EE2" w:rsidRPr="0028167F" w:rsidRDefault="00A36EE2" w:rsidP="0028167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15066FB6" w14:textId="59F75CCB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2" w:name="_Toc127872639"/>
      <w:bookmarkStart w:id="53" w:name="_Toc215840760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2"/>
      <w:bookmarkEnd w:id="53"/>
    </w:p>
    <w:p w14:paraId="32F86159" w14:textId="36065687" w:rsidR="00DF23C0" w:rsidRPr="00E4035F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CC4E68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9985BCB" w14:textId="7CBF6920" w:rsidR="00DF23C0" w:rsidRPr="00E4035F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427165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p w14:paraId="0822E800" w14:textId="77777777" w:rsidR="00D86EF6" w:rsidRPr="00DB40B7" w:rsidRDefault="00D86EF6" w:rsidP="00DB40B7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40"/>
      <w:bookmarkStart w:id="55" w:name="_Toc215840761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4"/>
      <w:bookmarkEnd w:id="55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2A5D8893" w:rsidR="00DF23C0" w:rsidRPr="00D84BF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84BFC">
        <w:rPr>
          <w:rFonts w:ascii="Lato" w:hAnsi="Lato" w:cs="Times New Roman"/>
          <w:b/>
          <w:bCs/>
        </w:rPr>
        <w:t xml:space="preserve">§ </w:t>
      </w:r>
      <w:r w:rsidR="00CC4E68" w:rsidRPr="00D84BFC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7</w:t>
      </w:r>
      <w:r w:rsidRPr="00D84BFC">
        <w:rPr>
          <w:rFonts w:ascii="Lato" w:hAnsi="Lato" w:cs="Times New Roman"/>
          <w:b/>
          <w:bCs/>
        </w:rPr>
        <w:t>.</w:t>
      </w:r>
    </w:p>
    <w:p w14:paraId="3C1652F8" w14:textId="3E67D13C" w:rsidR="00D71D31" w:rsidRPr="00E4035F" w:rsidRDefault="00102748" w:rsidP="008E69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6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>ryteria horyzontalne i kryteria szczegółowe dla przedsięwzięcia realizowanego w ramach Działania 1 Systemu zachęt.</w:t>
      </w:r>
    </w:p>
    <w:p w14:paraId="55490857" w14:textId="7C3B374C" w:rsidR="00460022" w:rsidRPr="00E4035F" w:rsidRDefault="00460022" w:rsidP="001952B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>Wzór wniosku wstępnego</w:t>
      </w:r>
      <w:r w:rsidR="00883104" w:rsidRPr="00E4035F">
        <w:rPr>
          <w:rFonts w:ascii="Lato" w:hAnsi="Lato" w:cs="Times New Roman"/>
        </w:rPr>
        <w:t>.</w:t>
      </w:r>
    </w:p>
    <w:p w14:paraId="5BD668FB" w14:textId="45C1B90F" w:rsidR="00102748" w:rsidRPr="0075146E" w:rsidRDefault="00102748" w:rsidP="001952B6">
      <w:pPr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75146E">
        <w:rPr>
          <w:rFonts w:ascii="Lato" w:hAnsi="Lato" w:cs="Times New Roman"/>
        </w:rPr>
        <w:t>Wzór wniosku o</w:t>
      </w:r>
      <w:r w:rsidR="00D12065" w:rsidRPr="0075146E">
        <w:rPr>
          <w:rFonts w:ascii="Lato" w:hAnsi="Lato" w:cs="Times New Roman"/>
        </w:rPr>
        <w:t xml:space="preserve"> objęcie przedsięwzięcia wsparciem</w:t>
      </w:r>
      <w:r w:rsidR="00603D98" w:rsidRPr="0075146E">
        <w:rPr>
          <w:rFonts w:ascii="Lato" w:eastAsiaTheme="minorHAnsi" w:hAnsi="Lato" w:cs="Times New Roman"/>
        </w:rPr>
        <w:t xml:space="preserve"> </w:t>
      </w:r>
      <w:r w:rsidR="00B17F06" w:rsidRPr="0075146E">
        <w:rPr>
          <w:rFonts w:ascii="Lato" w:eastAsia="Times New Roman" w:hAnsi="Lato" w:cs="Times New Roman"/>
        </w:rPr>
        <w:t xml:space="preserve">– zostanie przedstawiony po stworzeniu </w:t>
      </w:r>
      <w:r w:rsidR="0055331D">
        <w:rPr>
          <w:rFonts w:ascii="Lato" w:eastAsia="Times New Roman" w:hAnsi="Lato" w:cs="Times New Roman"/>
        </w:rPr>
        <w:t>w</w:t>
      </w:r>
      <w:r w:rsidR="00B17F06" w:rsidRPr="0075146E">
        <w:rPr>
          <w:rFonts w:ascii="Lato" w:eastAsia="Times New Roman" w:hAnsi="Lato" w:cs="Times New Roman"/>
        </w:rPr>
        <w:t xml:space="preserve">niosku o </w:t>
      </w:r>
      <w:r w:rsidR="00D12065" w:rsidRPr="0075146E">
        <w:rPr>
          <w:rFonts w:ascii="Lato" w:eastAsia="Times New Roman" w:hAnsi="Lato" w:cs="Times New Roman"/>
        </w:rPr>
        <w:t xml:space="preserve">objęcie przedsięwzięcia wsparciem </w:t>
      </w:r>
      <w:r w:rsidR="00B17F06" w:rsidRPr="0075146E">
        <w:rPr>
          <w:rFonts w:ascii="Lato" w:eastAsia="Times New Roman" w:hAnsi="Lato" w:cs="Times New Roman"/>
        </w:rPr>
        <w:t>w systemie CST2021</w:t>
      </w:r>
      <w:r w:rsidR="00BA7E21" w:rsidRPr="0075146E">
        <w:rPr>
          <w:rStyle w:val="Odwoanieprzypisudolnego"/>
          <w:rFonts w:ascii="Lato" w:eastAsia="Times New Roman" w:hAnsi="Lato" w:cs="Times New Roman"/>
        </w:rPr>
        <w:footnoteReference w:id="9"/>
      </w:r>
      <w:r w:rsidR="00B77AE0" w:rsidRPr="0075146E">
        <w:rPr>
          <w:rFonts w:ascii="Lato" w:eastAsia="Times New Roman" w:hAnsi="Lato" w:cs="Times New Roman"/>
        </w:rPr>
        <w:t>.</w:t>
      </w:r>
    </w:p>
    <w:p w14:paraId="4F96C32A" w14:textId="67BF9ADB" w:rsidR="00972184" w:rsidRPr="008D1E8C" w:rsidRDefault="0028627D" w:rsidP="006B3756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28627D">
        <w:rPr>
          <w:rFonts w:ascii="Lato" w:hAnsi="Lato" w:cs="Times New Roman"/>
        </w:rPr>
        <w:t xml:space="preserve">Regulamin Prac Komisji Oceny Przedsięwzięć </w:t>
      </w:r>
      <w:r w:rsidRPr="00F43179">
        <w:rPr>
          <w:rFonts w:ascii="Lato" w:hAnsi="Lato" w:cs="Times New Roman"/>
        </w:rPr>
        <w:t>(KOP)</w:t>
      </w:r>
      <w:r w:rsidRPr="0028627D">
        <w:rPr>
          <w:rFonts w:ascii="Lato" w:hAnsi="Lato" w:cs="Times New Roman"/>
        </w:rPr>
        <w:t xml:space="preserve"> wniosków o objęcie wsparciem</w:t>
      </w:r>
      <w:r w:rsidR="00F43179">
        <w:rPr>
          <w:rFonts w:ascii="Lato" w:hAnsi="Lato" w:cs="Times New Roman"/>
        </w:rPr>
        <w:t xml:space="preserve"> przedsięwzięcia</w:t>
      </w:r>
      <w:r w:rsidRPr="0028627D">
        <w:rPr>
          <w:rFonts w:ascii="Lato" w:hAnsi="Lato" w:cs="Times New Roman"/>
        </w:rPr>
        <w:t xml:space="preserve"> realizowanych w ramach </w:t>
      </w:r>
      <w:r w:rsidR="003A12E7">
        <w:rPr>
          <w:rFonts w:ascii="Lato" w:hAnsi="Lato" w:cs="Times New Roman"/>
        </w:rPr>
        <w:t>D</w:t>
      </w:r>
      <w:r w:rsidRPr="0028627D">
        <w:rPr>
          <w:rFonts w:ascii="Lato" w:hAnsi="Lato" w:cs="Times New Roman"/>
        </w:rPr>
        <w:t>ziałania 1 Systemu zachęt</w:t>
      </w:r>
      <w:r w:rsidR="00D91A0B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</w:p>
    <w:p w14:paraId="57AE50ED" w14:textId="77777777" w:rsidR="008D1E8C" w:rsidRPr="008D1E8C" w:rsidRDefault="008D1E8C" w:rsidP="008D1E8C">
      <w:pPr>
        <w:pStyle w:val="Akapitzlist"/>
        <w:spacing w:before="120" w:after="120"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6B9D6806" w14:textId="42370437" w:rsidR="00460022" w:rsidRPr="008D1E8C" w:rsidRDefault="00460022" w:rsidP="008D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</w:t>
      </w:r>
      <w:r w:rsidR="003D73AF"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mowy o </w:t>
      </w:r>
      <w:r w:rsidR="00D12065" w:rsidRPr="00E4035F">
        <w:rPr>
          <w:rFonts w:ascii="Lato" w:eastAsia="Times New Roman" w:hAnsi="Lato" w:cs="Times New Roman"/>
        </w:rPr>
        <w:t>objęcie przedsięwzięcia wsparciem</w:t>
      </w:r>
      <w:r w:rsidR="00834543" w:rsidRPr="00E4035F">
        <w:rPr>
          <w:rFonts w:ascii="Lato" w:eastAsiaTheme="minorHAnsi" w:hAnsi="Lato" w:cs="Times New Roman"/>
        </w:rPr>
        <w:t>.</w:t>
      </w:r>
    </w:p>
    <w:p w14:paraId="6329DA19" w14:textId="77777777" w:rsidR="008D1E8C" w:rsidRPr="008D1E8C" w:rsidRDefault="008D1E8C" w:rsidP="008D1E8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7E4A8548" w14:textId="019CC02B" w:rsidR="008D1E8C" w:rsidRDefault="00092809" w:rsidP="00372E25">
      <w:pPr>
        <w:pStyle w:val="Akapitzlist"/>
        <w:numPr>
          <w:ilvl w:val="0"/>
          <w:numId w:val="17"/>
        </w:numPr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7" w:name="_Hlk131591059"/>
      <w:r w:rsidRPr="00E4035F">
        <w:rPr>
          <w:rFonts w:ascii="Lato" w:eastAsia="Times New Roman" w:hAnsi="Lato" w:cs="Times New Roman"/>
        </w:rPr>
        <w:t>Wzór o</w:t>
      </w:r>
      <w:r w:rsidR="00127F60" w:rsidRPr="00E4035F">
        <w:rPr>
          <w:rFonts w:ascii="Lato" w:eastAsia="Times New Roman" w:hAnsi="Lato" w:cs="Times New Roman"/>
        </w:rPr>
        <w:t>świadczeni</w:t>
      </w:r>
      <w:r w:rsidRPr="00E4035F">
        <w:rPr>
          <w:rFonts w:ascii="Lato" w:eastAsia="Times New Roman" w:hAnsi="Lato" w:cs="Times New Roman"/>
        </w:rPr>
        <w:t>a</w:t>
      </w:r>
      <w:r w:rsidR="00127F60" w:rsidRPr="00E4035F">
        <w:rPr>
          <w:rFonts w:ascii="Lato" w:eastAsia="Times New Roman" w:hAnsi="Lato" w:cs="Times New Roman"/>
        </w:rPr>
        <w:t xml:space="preserve"> o braku negatywnej oceny jakości kształcenia</w:t>
      </w:r>
      <w:r w:rsidR="00460022" w:rsidRPr="00E4035F">
        <w:rPr>
          <w:rFonts w:ascii="Lato" w:eastAsia="Times New Roman" w:hAnsi="Lato" w:cs="Times New Roman"/>
        </w:rPr>
        <w:t xml:space="preserve"> przeprowadzonej przez Polską Komisję Akredytacyjną</w:t>
      </w:r>
      <w:r w:rsidR="0055331D">
        <w:rPr>
          <w:rFonts w:ascii="Lato" w:eastAsia="Times New Roman" w:hAnsi="Lato" w:cs="Times New Roman"/>
        </w:rPr>
        <w:t>.</w:t>
      </w:r>
    </w:p>
    <w:p w14:paraId="04DD32B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78A10EF3" w14:textId="52AA180B" w:rsidR="00092809" w:rsidRPr="00E4035F" w:rsidRDefault="00092809" w:rsidP="008D1E8C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postawienia uczelni w stan likwidacji.</w:t>
      </w:r>
    </w:p>
    <w:bookmarkEnd w:id="57"/>
    <w:p w14:paraId="4219FEA8" w14:textId="0A7FE237" w:rsidR="0012036D" w:rsidRDefault="0012036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oświadczenia w zakresie uprawnienia </w:t>
      </w:r>
      <w:r w:rsidR="008F08EA">
        <w:rPr>
          <w:rFonts w:ascii="Lato" w:eastAsia="Times New Roman" w:hAnsi="Lato" w:cs="Times New Roman"/>
        </w:rPr>
        <w:t>d</w:t>
      </w:r>
      <w:r w:rsidRPr="00E4035F">
        <w:rPr>
          <w:rFonts w:ascii="Lato" w:eastAsia="Times New Roman" w:hAnsi="Lato" w:cs="Times New Roman"/>
        </w:rPr>
        <w:t>o ubiegani</w:t>
      </w:r>
      <w:r w:rsidR="008F08EA">
        <w:rPr>
          <w:rFonts w:ascii="Lato" w:eastAsia="Times New Roman" w:hAnsi="Lato" w:cs="Times New Roman"/>
        </w:rPr>
        <w:t>a</w:t>
      </w:r>
      <w:r w:rsidRPr="00E4035F">
        <w:rPr>
          <w:rFonts w:ascii="Lato" w:eastAsia="Times New Roman" w:hAnsi="Lato" w:cs="Times New Roman"/>
        </w:rPr>
        <w:t xml:space="preserve"> o wsparcie.</w:t>
      </w:r>
    </w:p>
    <w:p w14:paraId="78FEFC2B" w14:textId="7A417CCA" w:rsidR="0028627D" w:rsidRPr="00E4035F" w:rsidRDefault="0028627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28627D">
        <w:rPr>
          <w:rFonts w:ascii="Lato" w:eastAsia="Times New Roman" w:hAnsi="Lato" w:cs="Times New Roman"/>
        </w:rPr>
        <w:t xml:space="preserve">Wzór oświadczenia </w:t>
      </w:r>
      <w:r w:rsidR="00A36EE2">
        <w:rPr>
          <w:rFonts w:ascii="Lato" w:eastAsia="Times New Roman" w:hAnsi="Lato" w:cs="Times New Roman"/>
        </w:rPr>
        <w:t>w zakresie</w:t>
      </w:r>
      <w:r w:rsidRPr="0028627D">
        <w:rPr>
          <w:rFonts w:ascii="Lato" w:eastAsia="Times New Roman" w:hAnsi="Lato" w:cs="Times New Roman"/>
        </w:rPr>
        <w:t xml:space="preserve"> finansowania.</w:t>
      </w:r>
    </w:p>
    <w:bookmarkEnd w:id="56"/>
    <w:p w14:paraId="1F6836BA" w14:textId="77777777" w:rsidR="004F4C7E" w:rsidRPr="008630BC" w:rsidRDefault="004F4C7E" w:rsidP="008630BC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4F4C7E" w:rsidRPr="0086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1ED11" w14:textId="77777777" w:rsidR="00F82055" w:rsidRDefault="00F82055" w:rsidP="00651D9E">
      <w:r>
        <w:separator/>
      </w:r>
    </w:p>
  </w:endnote>
  <w:endnote w:type="continuationSeparator" w:id="0">
    <w:p w14:paraId="0DB68B23" w14:textId="77777777" w:rsidR="00F82055" w:rsidRDefault="00F82055" w:rsidP="00651D9E">
      <w:r>
        <w:continuationSeparator/>
      </w:r>
    </w:p>
  </w:endnote>
  <w:endnote w:type="continuationNotice" w:id="1">
    <w:p w14:paraId="5A711FB6" w14:textId="77777777" w:rsidR="00F82055" w:rsidRDefault="00F82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AA8E0" w14:textId="77777777" w:rsidR="00F82055" w:rsidRDefault="00F82055" w:rsidP="00651D9E">
      <w:r>
        <w:separator/>
      </w:r>
    </w:p>
  </w:footnote>
  <w:footnote w:type="continuationSeparator" w:id="0">
    <w:p w14:paraId="44F51BF9" w14:textId="77777777" w:rsidR="00F82055" w:rsidRDefault="00F82055" w:rsidP="00651D9E">
      <w:r>
        <w:continuationSeparator/>
      </w:r>
    </w:p>
  </w:footnote>
  <w:footnote w:type="continuationNotice" w:id="1">
    <w:p w14:paraId="2A7086FE" w14:textId="77777777" w:rsidR="00F82055" w:rsidRDefault="00F82055"/>
  </w:footnote>
  <w:footnote w:id="2">
    <w:p w14:paraId="09CFBB77" w14:textId="77777777" w:rsidR="009110E3" w:rsidRPr="00AE2306" w:rsidRDefault="009110E3" w:rsidP="009110E3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  <w:r>
        <w:rPr>
          <w:rFonts w:ascii="Lato" w:hAnsi="Lato" w:cs="Arial"/>
          <w:b/>
          <w:bCs/>
          <w:sz w:val="16"/>
          <w:szCs w:val="16"/>
          <w:shd w:val="clear" w:color="auto" w:fill="FFFFFF"/>
        </w:rPr>
        <w:t>.</w:t>
      </w:r>
    </w:p>
  </w:footnote>
  <w:footnote w:id="3">
    <w:p w14:paraId="5C4D3BFB" w14:textId="4DF9D2B6" w:rsidR="00C2313C" w:rsidRPr="00C2313C" w:rsidRDefault="002E249B" w:rsidP="00C2313C">
      <w:pPr>
        <w:pStyle w:val="Tekstprzypisudolnego"/>
        <w:jc w:val="both"/>
        <w:rPr>
          <w:rFonts w:ascii="Lato" w:hAnsi="Lato"/>
          <w:sz w:val="16"/>
          <w:szCs w:val="16"/>
        </w:rPr>
      </w:pPr>
      <w:r w:rsidRPr="002E249B">
        <w:rPr>
          <w:rStyle w:val="Odwoanieprzypisudolnego"/>
          <w:rFonts w:ascii="Lato" w:hAnsi="Lato"/>
          <w:sz w:val="16"/>
          <w:szCs w:val="16"/>
        </w:rPr>
        <w:footnoteRef/>
      </w:r>
      <w:r w:rsidRPr="002E249B">
        <w:rPr>
          <w:rFonts w:ascii="Lato" w:hAnsi="Lato"/>
          <w:sz w:val="16"/>
          <w:szCs w:val="16"/>
        </w:rPr>
        <w:t xml:space="preserve"> Zgodnie z </w:t>
      </w:r>
      <w:r w:rsidR="00C2313C">
        <w:rPr>
          <w:rFonts w:ascii="Lato" w:hAnsi="Lato"/>
          <w:sz w:val="16"/>
          <w:szCs w:val="16"/>
        </w:rPr>
        <w:t>S</w:t>
      </w:r>
      <w:r w:rsidRPr="002E249B">
        <w:rPr>
          <w:rFonts w:ascii="Lato" w:hAnsi="Lato"/>
          <w:sz w:val="16"/>
          <w:szCs w:val="16"/>
        </w:rPr>
        <w:t xml:space="preserve">ystemem </w:t>
      </w:r>
      <w:r w:rsidR="00BE2BD1">
        <w:rPr>
          <w:rFonts w:ascii="Lato" w:hAnsi="Lato"/>
          <w:sz w:val="16"/>
          <w:szCs w:val="16"/>
        </w:rPr>
        <w:t>z</w:t>
      </w:r>
      <w:r w:rsidRPr="002E249B">
        <w:rPr>
          <w:rFonts w:ascii="Lato" w:hAnsi="Lato"/>
          <w:sz w:val="16"/>
          <w:szCs w:val="16"/>
        </w:rPr>
        <w:t xml:space="preserve">achęt: </w:t>
      </w:r>
      <w:r w:rsidRPr="00A66A74">
        <w:rPr>
          <w:rFonts w:ascii="Lato" w:hAnsi="Lato"/>
          <w:i/>
          <w:iCs/>
          <w:sz w:val="16"/>
          <w:szCs w:val="16"/>
        </w:rPr>
        <w:t>Po zakończeniu I i II roku studiów nastąpi weryfikacja posiadania statusu studenta przez stypendystę oraz poziomu nauki studenta. Stypendium nie będzie przyznawane w kolejnym roku studiów, jeśli student zrezygnuje ze studiów, zostanie skreślony z listy studentów lub uzyska średnią studiów poniżej średniej 4.0. Zasady przyznawania stypendiów na kolejnych latach muszą być określone w regulaminie stypendiów</w:t>
      </w:r>
      <w:r w:rsidR="002E67B9">
        <w:rPr>
          <w:rFonts w:ascii="Lato" w:hAnsi="Lato"/>
          <w:sz w:val="16"/>
          <w:szCs w:val="16"/>
        </w:rPr>
        <w:t>, (str. 32).</w:t>
      </w:r>
    </w:p>
    <w:p w14:paraId="08286E7F" w14:textId="1A030186" w:rsidR="002E249B" w:rsidRPr="002E249B" w:rsidRDefault="002E249B" w:rsidP="00A66A74">
      <w:pPr>
        <w:pStyle w:val="Tekstprzypisudolnego"/>
        <w:jc w:val="both"/>
        <w:rPr>
          <w:rFonts w:ascii="Lato" w:hAnsi="Lato"/>
          <w:sz w:val="16"/>
          <w:szCs w:val="16"/>
        </w:rPr>
      </w:pPr>
    </w:p>
    <w:p w14:paraId="5C027B70" w14:textId="1223A301" w:rsidR="002E249B" w:rsidRDefault="002E249B">
      <w:pPr>
        <w:pStyle w:val="Tekstprzypisudolnego"/>
      </w:pPr>
    </w:p>
  </w:footnote>
  <w:footnote w:id="4">
    <w:p w14:paraId="5DDEECE8" w14:textId="067F6517" w:rsidR="002E67B9" w:rsidRPr="00A66A74" w:rsidRDefault="002E67B9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Zgodnie z System zachęt: </w:t>
      </w:r>
      <w:r w:rsidRPr="00A66A74">
        <w:rPr>
          <w:rFonts w:ascii="Lato" w:hAnsi="Lato"/>
          <w:i/>
          <w:iCs/>
          <w:sz w:val="16"/>
          <w:szCs w:val="16"/>
        </w:rPr>
        <w:t>Uczelnia co pół roku będzie przekazywała do Ministra Zdrowia zestawienie z liczbą studentów otrzymujących stypendium,</w:t>
      </w:r>
      <w:r w:rsidRPr="00A66A74">
        <w:rPr>
          <w:rFonts w:ascii="Lato" w:hAnsi="Lato"/>
          <w:sz w:val="16"/>
          <w:szCs w:val="16"/>
        </w:rPr>
        <w:t xml:space="preserve"> (str. 32).</w:t>
      </w:r>
    </w:p>
  </w:footnote>
  <w:footnote w:id="5">
    <w:p w14:paraId="25250E22" w14:textId="11F20021" w:rsidR="006E5272" w:rsidRPr="00D82647" w:rsidRDefault="006E5272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</w:footnote>
  <w:footnote w:id="6">
    <w:p w14:paraId="3B3E1431" w14:textId="4A1BED0D" w:rsidR="002A137F" w:rsidRPr="00D82647" w:rsidRDefault="002A137F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Zobacz § 25.</w:t>
      </w:r>
    </w:p>
  </w:footnote>
  <w:footnote w:id="7">
    <w:p w14:paraId="7BFCD50C" w14:textId="0B1105E8" w:rsidR="004D65A4" w:rsidRPr="007B377F" w:rsidRDefault="004D65A4" w:rsidP="004D65A4">
      <w:pPr>
        <w:pStyle w:val="Tekstprzypisudolnego"/>
        <w:rPr>
          <w:rFonts w:ascii="Lato" w:hAnsi="Lato"/>
          <w:sz w:val="18"/>
          <w:szCs w:val="18"/>
        </w:rPr>
      </w:pPr>
      <w:r w:rsidRPr="00C93AF7">
        <w:rPr>
          <w:rStyle w:val="Odwoanieprzypisudolnego"/>
          <w:rFonts w:ascii="Lato" w:hAnsi="Lato"/>
          <w:sz w:val="18"/>
          <w:szCs w:val="18"/>
        </w:rPr>
        <w:footnoteRef/>
      </w:r>
      <w:r w:rsidRPr="00C93AF7">
        <w:rPr>
          <w:rFonts w:ascii="Lato" w:hAnsi="Lato"/>
          <w:sz w:val="18"/>
          <w:szCs w:val="18"/>
        </w:rPr>
        <w:t xml:space="preserve"> </w:t>
      </w:r>
      <w:r w:rsidRPr="007B377F">
        <w:rPr>
          <w:rFonts w:ascii="Lato" w:hAnsi="Lato"/>
          <w:sz w:val="18"/>
          <w:szCs w:val="18"/>
        </w:rPr>
        <w:t xml:space="preserve">Definicja Harmonogramu płatności została zawarta w </w:t>
      </w:r>
      <w:r w:rsidR="007B377F">
        <w:rPr>
          <w:rFonts w:ascii="Lato" w:hAnsi="Lato"/>
          <w:sz w:val="18"/>
          <w:szCs w:val="18"/>
        </w:rPr>
        <w:t>U</w:t>
      </w:r>
      <w:r w:rsidRPr="007B377F">
        <w:rPr>
          <w:rFonts w:ascii="Lato" w:hAnsi="Lato"/>
          <w:sz w:val="18"/>
          <w:szCs w:val="18"/>
        </w:rPr>
        <w:t>mow</w:t>
      </w:r>
      <w:r w:rsidR="004A22DE">
        <w:rPr>
          <w:rFonts w:ascii="Lato" w:hAnsi="Lato"/>
          <w:sz w:val="18"/>
          <w:szCs w:val="18"/>
        </w:rPr>
        <w:t>ie</w:t>
      </w:r>
      <w:r w:rsidRPr="007B377F">
        <w:rPr>
          <w:rFonts w:ascii="Lato" w:hAnsi="Lato"/>
          <w:sz w:val="18"/>
          <w:szCs w:val="18"/>
        </w:rPr>
        <w:t xml:space="preserve"> o objęcie przedsięwzięcia wparciem, </w:t>
      </w:r>
      <w:bookmarkStart w:id="39" w:name="_Hlk168063366"/>
      <w:r w:rsidRPr="007B377F">
        <w:rPr>
          <w:rFonts w:ascii="Lato" w:hAnsi="Lato" w:cs="Times New Roman"/>
          <w:sz w:val="18"/>
          <w:szCs w:val="18"/>
        </w:rPr>
        <w:t>§ 1 pkt 6.</w:t>
      </w:r>
      <w:bookmarkEnd w:id="39"/>
    </w:p>
  </w:footnote>
  <w:footnote w:id="8">
    <w:p w14:paraId="4BB35B33" w14:textId="77777777" w:rsidR="00CC4E68" w:rsidRPr="00A66A74" w:rsidRDefault="00CC4E68" w:rsidP="00CC4E68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Nie dotyczy jednostek sektora finansów publicznych.</w:t>
      </w:r>
    </w:p>
  </w:footnote>
  <w:footnote w:id="9">
    <w:p w14:paraId="335DF464" w14:textId="1150929A" w:rsidR="00BA7E21" w:rsidRPr="00A66A74" w:rsidRDefault="00BA7E21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</w:t>
      </w:r>
      <w:r w:rsidR="00E322A9" w:rsidRPr="00A66A74">
        <w:rPr>
          <w:rFonts w:ascii="Lato" w:hAnsi="Lato"/>
          <w:sz w:val="16"/>
          <w:szCs w:val="16"/>
        </w:rPr>
        <w:t xml:space="preserve">Możliwy jest eksport wniosku o </w:t>
      </w:r>
      <w:r w:rsidR="006B3756" w:rsidRPr="00A66A74">
        <w:rPr>
          <w:rFonts w:ascii="Lato" w:hAnsi="Lato"/>
          <w:sz w:val="16"/>
          <w:szCs w:val="16"/>
        </w:rPr>
        <w:t xml:space="preserve">objęcie przedsięwzięcia </w:t>
      </w:r>
      <w:r w:rsidR="004A1705" w:rsidRPr="00A66A74">
        <w:rPr>
          <w:rFonts w:ascii="Lato" w:hAnsi="Lato"/>
          <w:sz w:val="16"/>
          <w:szCs w:val="16"/>
        </w:rPr>
        <w:t>wsparcie</w:t>
      </w:r>
      <w:r w:rsidR="006B3756" w:rsidRPr="00A66A74">
        <w:rPr>
          <w:rFonts w:ascii="Lato" w:hAnsi="Lato"/>
          <w:sz w:val="16"/>
          <w:szCs w:val="16"/>
        </w:rPr>
        <w:t>m</w:t>
      </w:r>
      <w:r w:rsidR="00E322A9" w:rsidRPr="00A66A74">
        <w:rPr>
          <w:rFonts w:ascii="Lato" w:hAnsi="Lato"/>
          <w:sz w:val="16"/>
          <w:szCs w:val="16"/>
        </w:rPr>
        <w:t xml:space="preserve"> do PDF po utworzeniu naboru w CST</w:t>
      </w:r>
      <w:r w:rsidR="0006313C" w:rsidRPr="00A66A74">
        <w:rPr>
          <w:rFonts w:ascii="Lato" w:hAnsi="Lato"/>
          <w:sz w:val="16"/>
          <w:szCs w:val="16"/>
        </w:rPr>
        <w:t>2021</w:t>
      </w:r>
      <w:r w:rsidR="00C92BF5" w:rsidRPr="00A66A74"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C49A" w14:textId="4E9AB6AE" w:rsidR="009939E1" w:rsidRDefault="009939E1" w:rsidP="009939E1">
    <w:pPr>
      <w:pStyle w:val="Nagwek"/>
      <w:jc w:val="center"/>
    </w:pPr>
  </w:p>
  <w:p w14:paraId="205F1ED5" w14:textId="5DADB189" w:rsidR="009939E1" w:rsidRDefault="009939E1" w:rsidP="009939E1">
    <w:pPr>
      <w:pStyle w:val="Nagwek"/>
      <w:jc w:val="center"/>
    </w:pPr>
  </w:p>
  <w:p w14:paraId="6B80AA69" w14:textId="5EF9AAFE" w:rsidR="009939E1" w:rsidRDefault="003E1A03" w:rsidP="007E622C">
    <w:pPr>
      <w:pStyle w:val="Nagwek"/>
      <w:jc w:val="center"/>
    </w:pPr>
    <w:r>
      <w:rPr>
        <w:noProof/>
      </w:rPr>
      <w:drawing>
        <wp:inline distT="0" distB="0" distL="0" distR="0" wp14:anchorId="4D39392E" wp14:editId="1EABB669">
          <wp:extent cx="6242050" cy="767715"/>
          <wp:effectExtent l="0" t="0" r="6350" b="0"/>
          <wp:docPr id="270125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750" cy="769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D1252" w14:textId="2BE708B7" w:rsidR="009939E1" w:rsidRDefault="009939E1">
    <w:pPr>
      <w:pStyle w:val="Nagwek"/>
    </w:pPr>
  </w:p>
  <w:p w14:paraId="5946178A" w14:textId="77777777" w:rsidR="009939E1" w:rsidRDefault="00993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D87776"/>
    <w:multiLevelType w:val="multilevel"/>
    <w:tmpl w:val="08807F1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6E23009"/>
    <w:multiLevelType w:val="multilevel"/>
    <w:tmpl w:val="21EE273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C0849"/>
    <w:multiLevelType w:val="hybridMultilevel"/>
    <w:tmpl w:val="2174B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A3503D"/>
    <w:multiLevelType w:val="multilevel"/>
    <w:tmpl w:val="717C0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1C2D2150"/>
    <w:multiLevelType w:val="multilevel"/>
    <w:tmpl w:val="167A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162795"/>
    <w:multiLevelType w:val="multilevel"/>
    <w:tmpl w:val="005E837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8422174"/>
    <w:multiLevelType w:val="hybridMultilevel"/>
    <w:tmpl w:val="674ADDD8"/>
    <w:lvl w:ilvl="0" w:tplc="B5145F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F265F"/>
    <w:multiLevelType w:val="hybridMultilevel"/>
    <w:tmpl w:val="68E20CAE"/>
    <w:lvl w:ilvl="0" w:tplc="E5127024">
      <w:start w:val="1"/>
      <w:numFmt w:val="decimal"/>
      <w:lvlText w:val="%1."/>
      <w:lvlJc w:val="left"/>
      <w:pPr>
        <w:ind w:left="720" w:hanging="360"/>
      </w:pPr>
    </w:lvl>
    <w:lvl w:ilvl="1" w:tplc="A6CA0954">
      <w:start w:val="1"/>
      <w:numFmt w:val="decimal"/>
      <w:lvlText w:val="%2."/>
      <w:lvlJc w:val="left"/>
      <w:pPr>
        <w:ind w:left="720" w:hanging="360"/>
      </w:pPr>
    </w:lvl>
    <w:lvl w:ilvl="2" w:tplc="1D8E1116">
      <w:start w:val="1"/>
      <w:numFmt w:val="decimal"/>
      <w:lvlText w:val="%3."/>
      <w:lvlJc w:val="left"/>
      <w:pPr>
        <w:ind w:left="720" w:hanging="360"/>
      </w:pPr>
    </w:lvl>
    <w:lvl w:ilvl="3" w:tplc="ED14B19C">
      <w:start w:val="1"/>
      <w:numFmt w:val="decimal"/>
      <w:lvlText w:val="%4."/>
      <w:lvlJc w:val="left"/>
      <w:pPr>
        <w:ind w:left="720" w:hanging="360"/>
      </w:pPr>
    </w:lvl>
    <w:lvl w:ilvl="4" w:tplc="23B67E84">
      <w:start w:val="1"/>
      <w:numFmt w:val="decimal"/>
      <w:lvlText w:val="%5."/>
      <w:lvlJc w:val="left"/>
      <w:pPr>
        <w:ind w:left="720" w:hanging="360"/>
      </w:pPr>
    </w:lvl>
    <w:lvl w:ilvl="5" w:tplc="2D685C80">
      <w:start w:val="1"/>
      <w:numFmt w:val="decimal"/>
      <w:lvlText w:val="%6."/>
      <w:lvlJc w:val="left"/>
      <w:pPr>
        <w:ind w:left="720" w:hanging="360"/>
      </w:pPr>
    </w:lvl>
    <w:lvl w:ilvl="6" w:tplc="224AE38C">
      <w:start w:val="1"/>
      <w:numFmt w:val="decimal"/>
      <w:lvlText w:val="%7."/>
      <w:lvlJc w:val="left"/>
      <w:pPr>
        <w:ind w:left="720" w:hanging="360"/>
      </w:pPr>
    </w:lvl>
    <w:lvl w:ilvl="7" w:tplc="2DB4C6E6">
      <w:start w:val="1"/>
      <w:numFmt w:val="decimal"/>
      <w:lvlText w:val="%8."/>
      <w:lvlJc w:val="left"/>
      <w:pPr>
        <w:ind w:left="720" w:hanging="360"/>
      </w:pPr>
    </w:lvl>
    <w:lvl w:ilvl="8" w:tplc="F386E8E4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8B11C3F"/>
    <w:multiLevelType w:val="hybridMultilevel"/>
    <w:tmpl w:val="25FA64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F10713"/>
    <w:multiLevelType w:val="hybridMultilevel"/>
    <w:tmpl w:val="8C4230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781351"/>
    <w:multiLevelType w:val="hybridMultilevel"/>
    <w:tmpl w:val="248457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)"/>
      <w:lvlJc w:val="left"/>
      <w:pPr>
        <w:ind w:left="2084" w:hanging="360"/>
      </w:p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A75155"/>
    <w:multiLevelType w:val="multilevel"/>
    <w:tmpl w:val="FBEAD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2A9397D"/>
    <w:multiLevelType w:val="multilevel"/>
    <w:tmpl w:val="9D6CA9E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62CF7DF8"/>
    <w:multiLevelType w:val="multilevel"/>
    <w:tmpl w:val="D754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3A56AFD"/>
    <w:multiLevelType w:val="multilevel"/>
    <w:tmpl w:val="F9AC00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3C84146"/>
    <w:multiLevelType w:val="multilevel"/>
    <w:tmpl w:val="B070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6BDF1154"/>
    <w:multiLevelType w:val="hybridMultilevel"/>
    <w:tmpl w:val="59FCB1A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31A0B07"/>
    <w:multiLevelType w:val="hybridMultilevel"/>
    <w:tmpl w:val="24E6D85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Theme="minorEastAsia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37"/>
  </w:num>
  <w:num w:numId="2" w16cid:durableId="1089279017">
    <w:abstractNumId w:val="18"/>
  </w:num>
  <w:num w:numId="3" w16cid:durableId="110052305">
    <w:abstractNumId w:val="54"/>
  </w:num>
  <w:num w:numId="4" w16cid:durableId="1303462555">
    <w:abstractNumId w:val="28"/>
  </w:num>
  <w:num w:numId="5" w16cid:durableId="925577834">
    <w:abstractNumId w:val="43"/>
  </w:num>
  <w:num w:numId="6" w16cid:durableId="120341018">
    <w:abstractNumId w:val="4"/>
  </w:num>
  <w:num w:numId="7" w16cid:durableId="1397241393">
    <w:abstractNumId w:val="20"/>
  </w:num>
  <w:num w:numId="8" w16cid:durableId="1016544991">
    <w:abstractNumId w:val="27"/>
  </w:num>
  <w:num w:numId="9" w16cid:durableId="702052881">
    <w:abstractNumId w:val="23"/>
  </w:num>
  <w:num w:numId="10" w16cid:durableId="1031030436">
    <w:abstractNumId w:val="36"/>
  </w:num>
  <w:num w:numId="11" w16cid:durableId="1037511149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4"/>
  </w:num>
  <w:num w:numId="13" w16cid:durableId="894508728">
    <w:abstractNumId w:val="41"/>
  </w:num>
  <w:num w:numId="14" w16cid:durableId="2013138468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0"/>
  </w:num>
  <w:num w:numId="17" w16cid:durableId="1495728282">
    <w:abstractNumId w:val="38"/>
  </w:num>
  <w:num w:numId="18" w16cid:durableId="59594426">
    <w:abstractNumId w:val="47"/>
  </w:num>
  <w:num w:numId="19" w16cid:durableId="850874689">
    <w:abstractNumId w:val="63"/>
  </w:num>
  <w:num w:numId="20" w16cid:durableId="734354236">
    <w:abstractNumId w:val="56"/>
  </w:num>
  <w:num w:numId="21" w16cid:durableId="1003432905">
    <w:abstractNumId w:val="7"/>
  </w:num>
  <w:num w:numId="22" w16cid:durableId="2007632322">
    <w:abstractNumId w:val="1"/>
  </w:num>
  <w:num w:numId="23" w16cid:durableId="1253010488">
    <w:abstractNumId w:val="51"/>
  </w:num>
  <w:num w:numId="24" w16cid:durableId="378208942">
    <w:abstractNumId w:val="33"/>
  </w:num>
  <w:num w:numId="25" w16cid:durableId="322635013">
    <w:abstractNumId w:val="32"/>
  </w:num>
  <w:num w:numId="26" w16cid:durableId="1907498255">
    <w:abstractNumId w:val="48"/>
  </w:num>
  <w:num w:numId="27" w16cid:durableId="1567255769">
    <w:abstractNumId w:val="52"/>
  </w:num>
  <w:num w:numId="28" w16cid:durableId="420177561">
    <w:abstractNumId w:val="12"/>
  </w:num>
  <w:num w:numId="29" w16cid:durableId="1483740644">
    <w:abstractNumId w:val="2"/>
  </w:num>
  <w:num w:numId="30" w16cid:durableId="811868979">
    <w:abstractNumId w:val="24"/>
  </w:num>
  <w:num w:numId="31" w16cid:durableId="1723943405">
    <w:abstractNumId w:val="0"/>
  </w:num>
  <w:num w:numId="32" w16cid:durableId="1591158739">
    <w:abstractNumId w:val="64"/>
  </w:num>
  <w:num w:numId="33" w16cid:durableId="2084252250">
    <w:abstractNumId w:val="11"/>
  </w:num>
  <w:num w:numId="34" w16cid:durableId="1829053995">
    <w:abstractNumId w:val="49"/>
  </w:num>
  <w:num w:numId="35" w16cid:durableId="1952199362">
    <w:abstractNumId w:val="58"/>
  </w:num>
  <w:num w:numId="36" w16cid:durableId="1895851102">
    <w:abstractNumId w:val="35"/>
  </w:num>
  <w:num w:numId="37" w16cid:durableId="562712981">
    <w:abstractNumId w:val="22"/>
  </w:num>
  <w:num w:numId="38" w16cid:durableId="2103407432">
    <w:abstractNumId w:val="5"/>
  </w:num>
  <w:num w:numId="39" w16cid:durableId="1360545188">
    <w:abstractNumId w:val="50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6"/>
  </w:num>
  <w:num w:numId="42" w16cid:durableId="524249805">
    <w:abstractNumId w:val="53"/>
  </w:num>
  <w:num w:numId="43" w16cid:durableId="630477597">
    <w:abstractNumId w:val="19"/>
  </w:num>
  <w:num w:numId="44" w16cid:durableId="672536398">
    <w:abstractNumId w:val="9"/>
  </w:num>
  <w:num w:numId="45" w16cid:durableId="2121365967">
    <w:abstractNumId w:val="10"/>
  </w:num>
  <w:num w:numId="46" w16cid:durableId="1859346138">
    <w:abstractNumId w:val="57"/>
  </w:num>
  <w:num w:numId="47" w16cid:durableId="1480074946">
    <w:abstractNumId w:val="15"/>
  </w:num>
  <w:num w:numId="48" w16cid:durableId="1651906128">
    <w:abstractNumId w:val="31"/>
  </w:num>
  <w:num w:numId="49" w16cid:durableId="1712998792">
    <w:abstractNumId w:val="8"/>
  </w:num>
  <w:num w:numId="50" w16cid:durableId="460415583">
    <w:abstractNumId w:val="61"/>
  </w:num>
  <w:num w:numId="51" w16cid:durableId="1102646915">
    <w:abstractNumId w:val="6"/>
  </w:num>
  <w:num w:numId="52" w16cid:durableId="1274248956">
    <w:abstractNumId w:val="66"/>
  </w:num>
  <w:num w:numId="53" w16cid:durableId="1839691895">
    <w:abstractNumId w:val="42"/>
  </w:num>
  <w:num w:numId="54" w16cid:durableId="1711371036">
    <w:abstractNumId w:val="13"/>
  </w:num>
  <w:num w:numId="55" w16cid:durableId="1064332762">
    <w:abstractNumId w:val="21"/>
  </w:num>
  <w:num w:numId="56" w16cid:durableId="744500420">
    <w:abstractNumId w:val="16"/>
  </w:num>
  <w:num w:numId="57" w16cid:durableId="1228761711">
    <w:abstractNumId w:val="62"/>
  </w:num>
  <w:num w:numId="58" w16cid:durableId="1062748675">
    <w:abstractNumId w:val="45"/>
  </w:num>
  <w:num w:numId="59" w16cid:durableId="1210874110">
    <w:abstractNumId w:val="55"/>
  </w:num>
  <w:num w:numId="60" w16cid:durableId="125006026">
    <w:abstractNumId w:val="39"/>
  </w:num>
  <w:num w:numId="61" w16cid:durableId="831481696">
    <w:abstractNumId w:val="40"/>
  </w:num>
  <w:num w:numId="62" w16cid:durableId="1761024025">
    <w:abstractNumId w:val="65"/>
  </w:num>
  <w:num w:numId="63" w16cid:durableId="78526248">
    <w:abstractNumId w:val="60"/>
  </w:num>
  <w:num w:numId="64" w16cid:durableId="1163931083">
    <w:abstractNumId w:val="3"/>
  </w:num>
  <w:num w:numId="65" w16cid:durableId="1972321071">
    <w:abstractNumId w:val="29"/>
  </w:num>
  <w:num w:numId="66" w16cid:durableId="401559473">
    <w:abstractNumId w:val="34"/>
  </w:num>
  <w:num w:numId="67" w16cid:durableId="680008107">
    <w:abstractNumId w:val="25"/>
  </w:num>
  <w:num w:numId="68" w16cid:durableId="1896157924">
    <w:abstractNumId w:val="59"/>
  </w:num>
  <w:num w:numId="69" w16cid:durableId="762648681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56"/>
    <w:rsid w:val="0000720E"/>
    <w:rsid w:val="00007335"/>
    <w:rsid w:val="0001251A"/>
    <w:rsid w:val="00013310"/>
    <w:rsid w:val="00013D73"/>
    <w:rsid w:val="00013EBF"/>
    <w:rsid w:val="00014AC9"/>
    <w:rsid w:val="00017F4B"/>
    <w:rsid w:val="000207F5"/>
    <w:rsid w:val="00021926"/>
    <w:rsid w:val="00021CE9"/>
    <w:rsid w:val="00022927"/>
    <w:rsid w:val="00022C04"/>
    <w:rsid w:val="00023E14"/>
    <w:rsid w:val="0002414E"/>
    <w:rsid w:val="00025319"/>
    <w:rsid w:val="000255B9"/>
    <w:rsid w:val="00031180"/>
    <w:rsid w:val="00033EE7"/>
    <w:rsid w:val="000367E3"/>
    <w:rsid w:val="00041BCD"/>
    <w:rsid w:val="00041D80"/>
    <w:rsid w:val="0004444E"/>
    <w:rsid w:val="00046761"/>
    <w:rsid w:val="00052213"/>
    <w:rsid w:val="00052294"/>
    <w:rsid w:val="00052F91"/>
    <w:rsid w:val="0005370E"/>
    <w:rsid w:val="00056BB0"/>
    <w:rsid w:val="00056E9A"/>
    <w:rsid w:val="0006313C"/>
    <w:rsid w:val="00066E11"/>
    <w:rsid w:val="000706E5"/>
    <w:rsid w:val="00070963"/>
    <w:rsid w:val="000709BD"/>
    <w:rsid w:val="00072D84"/>
    <w:rsid w:val="0007492F"/>
    <w:rsid w:val="00074CB5"/>
    <w:rsid w:val="00075061"/>
    <w:rsid w:val="00075447"/>
    <w:rsid w:val="00081752"/>
    <w:rsid w:val="00082481"/>
    <w:rsid w:val="000839E0"/>
    <w:rsid w:val="00083CEE"/>
    <w:rsid w:val="00092499"/>
    <w:rsid w:val="00092809"/>
    <w:rsid w:val="00093B5C"/>
    <w:rsid w:val="00095B4B"/>
    <w:rsid w:val="00096892"/>
    <w:rsid w:val="000A6201"/>
    <w:rsid w:val="000A7F23"/>
    <w:rsid w:val="000B1B9F"/>
    <w:rsid w:val="000B4DAB"/>
    <w:rsid w:val="000C0CBE"/>
    <w:rsid w:val="000C4738"/>
    <w:rsid w:val="000D2332"/>
    <w:rsid w:val="000D46E4"/>
    <w:rsid w:val="000D7281"/>
    <w:rsid w:val="000E2664"/>
    <w:rsid w:val="000E3344"/>
    <w:rsid w:val="000E33D2"/>
    <w:rsid w:val="000E3CF9"/>
    <w:rsid w:val="000E432A"/>
    <w:rsid w:val="000E5A14"/>
    <w:rsid w:val="000E67D2"/>
    <w:rsid w:val="000F2733"/>
    <w:rsid w:val="000F54BD"/>
    <w:rsid w:val="000F57EB"/>
    <w:rsid w:val="000F5CAA"/>
    <w:rsid w:val="0010040B"/>
    <w:rsid w:val="00100438"/>
    <w:rsid w:val="0010244B"/>
    <w:rsid w:val="00102748"/>
    <w:rsid w:val="00104D71"/>
    <w:rsid w:val="00110C44"/>
    <w:rsid w:val="00116C02"/>
    <w:rsid w:val="00117BD5"/>
    <w:rsid w:val="0012036D"/>
    <w:rsid w:val="00120888"/>
    <w:rsid w:val="00122F78"/>
    <w:rsid w:val="0012338E"/>
    <w:rsid w:val="0012363F"/>
    <w:rsid w:val="0012673E"/>
    <w:rsid w:val="00127A3E"/>
    <w:rsid w:val="00127E7D"/>
    <w:rsid w:val="00127F60"/>
    <w:rsid w:val="0013005E"/>
    <w:rsid w:val="00130433"/>
    <w:rsid w:val="00136372"/>
    <w:rsid w:val="001418A5"/>
    <w:rsid w:val="001420E7"/>
    <w:rsid w:val="00142C2B"/>
    <w:rsid w:val="00142E4E"/>
    <w:rsid w:val="00143148"/>
    <w:rsid w:val="001546AA"/>
    <w:rsid w:val="0015605B"/>
    <w:rsid w:val="0015636B"/>
    <w:rsid w:val="00160252"/>
    <w:rsid w:val="0016039C"/>
    <w:rsid w:val="00160AAF"/>
    <w:rsid w:val="001628A6"/>
    <w:rsid w:val="00162B09"/>
    <w:rsid w:val="00166B8C"/>
    <w:rsid w:val="0016723B"/>
    <w:rsid w:val="00167902"/>
    <w:rsid w:val="00172B80"/>
    <w:rsid w:val="00172C9C"/>
    <w:rsid w:val="001802BD"/>
    <w:rsid w:val="00181EC7"/>
    <w:rsid w:val="0018576E"/>
    <w:rsid w:val="001859FF"/>
    <w:rsid w:val="00185C4B"/>
    <w:rsid w:val="00186F7C"/>
    <w:rsid w:val="001908B7"/>
    <w:rsid w:val="00190BC7"/>
    <w:rsid w:val="00193559"/>
    <w:rsid w:val="001952B6"/>
    <w:rsid w:val="001960A6"/>
    <w:rsid w:val="001968B7"/>
    <w:rsid w:val="001A0A7F"/>
    <w:rsid w:val="001A0AFB"/>
    <w:rsid w:val="001A0D1C"/>
    <w:rsid w:val="001A23B5"/>
    <w:rsid w:val="001A318D"/>
    <w:rsid w:val="001A43E5"/>
    <w:rsid w:val="001A4D8A"/>
    <w:rsid w:val="001A6159"/>
    <w:rsid w:val="001A7D92"/>
    <w:rsid w:val="001B03A4"/>
    <w:rsid w:val="001B14A1"/>
    <w:rsid w:val="001B2B5B"/>
    <w:rsid w:val="001B33DB"/>
    <w:rsid w:val="001B5952"/>
    <w:rsid w:val="001B602B"/>
    <w:rsid w:val="001C0393"/>
    <w:rsid w:val="001C1427"/>
    <w:rsid w:val="001C184E"/>
    <w:rsid w:val="001C23B8"/>
    <w:rsid w:val="001C4C6C"/>
    <w:rsid w:val="001C5126"/>
    <w:rsid w:val="001C5DCF"/>
    <w:rsid w:val="001C6BCF"/>
    <w:rsid w:val="001D0E5C"/>
    <w:rsid w:val="001D1E41"/>
    <w:rsid w:val="001D56E4"/>
    <w:rsid w:val="001D5956"/>
    <w:rsid w:val="001D7A94"/>
    <w:rsid w:val="001D7ED9"/>
    <w:rsid w:val="001E0E11"/>
    <w:rsid w:val="001E1F99"/>
    <w:rsid w:val="001E2243"/>
    <w:rsid w:val="001E318F"/>
    <w:rsid w:val="001E3880"/>
    <w:rsid w:val="001E4F9E"/>
    <w:rsid w:val="001E5051"/>
    <w:rsid w:val="001E5E69"/>
    <w:rsid w:val="001F20E3"/>
    <w:rsid w:val="001F25D7"/>
    <w:rsid w:val="001F271A"/>
    <w:rsid w:val="001F3090"/>
    <w:rsid w:val="001F4537"/>
    <w:rsid w:val="001F5632"/>
    <w:rsid w:val="001F6C28"/>
    <w:rsid w:val="001F71B1"/>
    <w:rsid w:val="001F7805"/>
    <w:rsid w:val="00200418"/>
    <w:rsid w:val="00201F87"/>
    <w:rsid w:val="00202BDA"/>
    <w:rsid w:val="00204628"/>
    <w:rsid w:val="002046AD"/>
    <w:rsid w:val="0020475E"/>
    <w:rsid w:val="00206E26"/>
    <w:rsid w:val="002121C3"/>
    <w:rsid w:val="00212B34"/>
    <w:rsid w:val="00213CB6"/>
    <w:rsid w:val="00214FCD"/>
    <w:rsid w:val="00223BB9"/>
    <w:rsid w:val="00225891"/>
    <w:rsid w:val="0022637C"/>
    <w:rsid w:val="00227496"/>
    <w:rsid w:val="00233C44"/>
    <w:rsid w:val="00234877"/>
    <w:rsid w:val="00234C40"/>
    <w:rsid w:val="002401D6"/>
    <w:rsid w:val="00241ECB"/>
    <w:rsid w:val="00243A17"/>
    <w:rsid w:val="002454CD"/>
    <w:rsid w:val="002458B9"/>
    <w:rsid w:val="0024714F"/>
    <w:rsid w:val="0024749E"/>
    <w:rsid w:val="00253751"/>
    <w:rsid w:val="00260165"/>
    <w:rsid w:val="00260C77"/>
    <w:rsid w:val="002611DF"/>
    <w:rsid w:val="00264F39"/>
    <w:rsid w:val="002651C5"/>
    <w:rsid w:val="00265854"/>
    <w:rsid w:val="002660E5"/>
    <w:rsid w:val="0026772C"/>
    <w:rsid w:val="00274B1F"/>
    <w:rsid w:val="00274FDD"/>
    <w:rsid w:val="002767A6"/>
    <w:rsid w:val="0028167F"/>
    <w:rsid w:val="00282F03"/>
    <w:rsid w:val="00283906"/>
    <w:rsid w:val="00283E50"/>
    <w:rsid w:val="00285F56"/>
    <w:rsid w:val="0028627D"/>
    <w:rsid w:val="0029074A"/>
    <w:rsid w:val="00290DA5"/>
    <w:rsid w:val="002921E5"/>
    <w:rsid w:val="0029283C"/>
    <w:rsid w:val="002975D9"/>
    <w:rsid w:val="00297A03"/>
    <w:rsid w:val="002A137F"/>
    <w:rsid w:val="002A2BD3"/>
    <w:rsid w:val="002A5299"/>
    <w:rsid w:val="002A6807"/>
    <w:rsid w:val="002A6DBA"/>
    <w:rsid w:val="002A6FA9"/>
    <w:rsid w:val="002B062C"/>
    <w:rsid w:val="002B29E2"/>
    <w:rsid w:val="002B4801"/>
    <w:rsid w:val="002B678A"/>
    <w:rsid w:val="002B6A75"/>
    <w:rsid w:val="002C1E2E"/>
    <w:rsid w:val="002C5494"/>
    <w:rsid w:val="002C674E"/>
    <w:rsid w:val="002C76F6"/>
    <w:rsid w:val="002D16E5"/>
    <w:rsid w:val="002D1F58"/>
    <w:rsid w:val="002D3014"/>
    <w:rsid w:val="002D45F7"/>
    <w:rsid w:val="002E0506"/>
    <w:rsid w:val="002E0783"/>
    <w:rsid w:val="002E13F8"/>
    <w:rsid w:val="002E249B"/>
    <w:rsid w:val="002E3450"/>
    <w:rsid w:val="002E60E1"/>
    <w:rsid w:val="002E67B9"/>
    <w:rsid w:val="002E76FB"/>
    <w:rsid w:val="002F1B5B"/>
    <w:rsid w:val="002F3A14"/>
    <w:rsid w:val="002F440B"/>
    <w:rsid w:val="002F48B0"/>
    <w:rsid w:val="002F61CC"/>
    <w:rsid w:val="002F674C"/>
    <w:rsid w:val="0030198B"/>
    <w:rsid w:val="00301AD8"/>
    <w:rsid w:val="00304FD8"/>
    <w:rsid w:val="0030510B"/>
    <w:rsid w:val="0030774F"/>
    <w:rsid w:val="00307D9F"/>
    <w:rsid w:val="00313064"/>
    <w:rsid w:val="003154F9"/>
    <w:rsid w:val="00315C8A"/>
    <w:rsid w:val="003243DC"/>
    <w:rsid w:val="00325908"/>
    <w:rsid w:val="00325BE8"/>
    <w:rsid w:val="00325C56"/>
    <w:rsid w:val="00325F92"/>
    <w:rsid w:val="003270E7"/>
    <w:rsid w:val="00331562"/>
    <w:rsid w:val="00331E88"/>
    <w:rsid w:val="00334D57"/>
    <w:rsid w:val="0033552D"/>
    <w:rsid w:val="00335B45"/>
    <w:rsid w:val="00336DBB"/>
    <w:rsid w:val="003404B2"/>
    <w:rsid w:val="00342368"/>
    <w:rsid w:val="00345B23"/>
    <w:rsid w:val="00345EBD"/>
    <w:rsid w:val="00346EEF"/>
    <w:rsid w:val="00347870"/>
    <w:rsid w:val="003504CF"/>
    <w:rsid w:val="00350671"/>
    <w:rsid w:val="003510D6"/>
    <w:rsid w:val="00351180"/>
    <w:rsid w:val="0035274A"/>
    <w:rsid w:val="00355D38"/>
    <w:rsid w:val="003566EF"/>
    <w:rsid w:val="00356BCF"/>
    <w:rsid w:val="00357175"/>
    <w:rsid w:val="003575EA"/>
    <w:rsid w:val="00357876"/>
    <w:rsid w:val="00357FFE"/>
    <w:rsid w:val="00360958"/>
    <w:rsid w:val="00360DAA"/>
    <w:rsid w:val="00361ECF"/>
    <w:rsid w:val="00365253"/>
    <w:rsid w:val="00365691"/>
    <w:rsid w:val="0036579C"/>
    <w:rsid w:val="003662FC"/>
    <w:rsid w:val="00367635"/>
    <w:rsid w:val="003708DE"/>
    <w:rsid w:val="00372E25"/>
    <w:rsid w:val="00375BE1"/>
    <w:rsid w:val="0037629A"/>
    <w:rsid w:val="00376577"/>
    <w:rsid w:val="00380202"/>
    <w:rsid w:val="00381BC6"/>
    <w:rsid w:val="00383351"/>
    <w:rsid w:val="003835B2"/>
    <w:rsid w:val="00384854"/>
    <w:rsid w:val="00385181"/>
    <w:rsid w:val="00385BEC"/>
    <w:rsid w:val="00385EAE"/>
    <w:rsid w:val="0039084C"/>
    <w:rsid w:val="00392079"/>
    <w:rsid w:val="003928AE"/>
    <w:rsid w:val="00392953"/>
    <w:rsid w:val="0039328D"/>
    <w:rsid w:val="00393A45"/>
    <w:rsid w:val="003963C6"/>
    <w:rsid w:val="003A0130"/>
    <w:rsid w:val="003A12E7"/>
    <w:rsid w:val="003A2629"/>
    <w:rsid w:val="003A493B"/>
    <w:rsid w:val="003B04A8"/>
    <w:rsid w:val="003B2517"/>
    <w:rsid w:val="003B286E"/>
    <w:rsid w:val="003B3058"/>
    <w:rsid w:val="003B3062"/>
    <w:rsid w:val="003B48FF"/>
    <w:rsid w:val="003B597E"/>
    <w:rsid w:val="003B7FD4"/>
    <w:rsid w:val="003C10D4"/>
    <w:rsid w:val="003D39B1"/>
    <w:rsid w:val="003D3E46"/>
    <w:rsid w:val="003D73AF"/>
    <w:rsid w:val="003E1A03"/>
    <w:rsid w:val="003E220B"/>
    <w:rsid w:val="003E366A"/>
    <w:rsid w:val="003E53E1"/>
    <w:rsid w:val="003E7E55"/>
    <w:rsid w:val="003F02B3"/>
    <w:rsid w:val="003F0A27"/>
    <w:rsid w:val="003F164F"/>
    <w:rsid w:val="003F2626"/>
    <w:rsid w:val="003F2A94"/>
    <w:rsid w:val="003F3344"/>
    <w:rsid w:val="003F3CAA"/>
    <w:rsid w:val="003F3D86"/>
    <w:rsid w:val="003F3F6E"/>
    <w:rsid w:val="003F571A"/>
    <w:rsid w:val="003F5C5A"/>
    <w:rsid w:val="003F724F"/>
    <w:rsid w:val="0040144C"/>
    <w:rsid w:val="00410B49"/>
    <w:rsid w:val="004119AA"/>
    <w:rsid w:val="00415501"/>
    <w:rsid w:val="00417867"/>
    <w:rsid w:val="004221B1"/>
    <w:rsid w:val="00424D50"/>
    <w:rsid w:val="004259DB"/>
    <w:rsid w:val="004264F5"/>
    <w:rsid w:val="00427165"/>
    <w:rsid w:val="004307D8"/>
    <w:rsid w:val="00434BC9"/>
    <w:rsid w:val="00434ED1"/>
    <w:rsid w:val="00436581"/>
    <w:rsid w:val="004407BF"/>
    <w:rsid w:val="00440A2E"/>
    <w:rsid w:val="00441337"/>
    <w:rsid w:val="00441B1C"/>
    <w:rsid w:val="00445613"/>
    <w:rsid w:val="0044574C"/>
    <w:rsid w:val="00446AF7"/>
    <w:rsid w:val="00452CE8"/>
    <w:rsid w:val="00452DBC"/>
    <w:rsid w:val="004533F6"/>
    <w:rsid w:val="00453BD8"/>
    <w:rsid w:val="00454E24"/>
    <w:rsid w:val="00460022"/>
    <w:rsid w:val="00461009"/>
    <w:rsid w:val="0046288C"/>
    <w:rsid w:val="00463742"/>
    <w:rsid w:val="00467FB9"/>
    <w:rsid w:val="00470E15"/>
    <w:rsid w:val="004720F8"/>
    <w:rsid w:val="00475846"/>
    <w:rsid w:val="00476210"/>
    <w:rsid w:val="0048187A"/>
    <w:rsid w:val="00481FBA"/>
    <w:rsid w:val="00482935"/>
    <w:rsid w:val="00485C61"/>
    <w:rsid w:val="00486835"/>
    <w:rsid w:val="00486BD6"/>
    <w:rsid w:val="00486C34"/>
    <w:rsid w:val="00493B32"/>
    <w:rsid w:val="00493F52"/>
    <w:rsid w:val="004956C7"/>
    <w:rsid w:val="004959A8"/>
    <w:rsid w:val="00495C12"/>
    <w:rsid w:val="004A0121"/>
    <w:rsid w:val="004A035D"/>
    <w:rsid w:val="004A1705"/>
    <w:rsid w:val="004A22DE"/>
    <w:rsid w:val="004A37F6"/>
    <w:rsid w:val="004A5C9F"/>
    <w:rsid w:val="004A6979"/>
    <w:rsid w:val="004B1743"/>
    <w:rsid w:val="004B2CFF"/>
    <w:rsid w:val="004B7DB0"/>
    <w:rsid w:val="004C0058"/>
    <w:rsid w:val="004C0194"/>
    <w:rsid w:val="004C1367"/>
    <w:rsid w:val="004C7802"/>
    <w:rsid w:val="004D01B0"/>
    <w:rsid w:val="004D0B03"/>
    <w:rsid w:val="004D4113"/>
    <w:rsid w:val="004D65A4"/>
    <w:rsid w:val="004E379E"/>
    <w:rsid w:val="004E4FFB"/>
    <w:rsid w:val="004E60A4"/>
    <w:rsid w:val="004E78BE"/>
    <w:rsid w:val="004F47F7"/>
    <w:rsid w:val="004F4C7E"/>
    <w:rsid w:val="004F5CD7"/>
    <w:rsid w:val="004F6F6A"/>
    <w:rsid w:val="004F75B9"/>
    <w:rsid w:val="00500A9F"/>
    <w:rsid w:val="005042A4"/>
    <w:rsid w:val="005105C3"/>
    <w:rsid w:val="00510C3A"/>
    <w:rsid w:val="005110A6"/>
    <w:rsid w:val="00522ECC"/>
    <w:rsid w:val="00524113"/>
    <w:rsid w:val="00525AEB"/>
    <w:rsid w:val="00527B2A"/>
    <w:rsid w:val="00527DB2"/>
    <w:rsid w:val="005320B3"/>
    <w:rsid w:val="005408CA"/>
    <w:rsid w:val="00543246"/>
    <w:rsid w:val="005445C3"/>
    <w:rsid w:val="00547EE5"/>
    <w:rsid w:val="0055142D"/>
    <w:rsid w:val="0055331D"/>
    <w:rsid w:val="00553396"/>
    <w:rsid w:val="00554EDE"/>
    <w:rsid w:val="00555DFC"/>
    <w:rsid w:val="00556E0E"/>
    <w:rsid w:val="00557AF3"/>
    <w:rsid w:val="005603DC"/>
    <w:rsid w:val="005619C0"/>
    <w:rsid w:val="005624E8"/>
    <w:rsid w:val="00563A90"/>
    <w:rsid w:val="00566BF6"/>
    <w:rsid w:val="00566FC5"/>
    <w:rsid w:val="00570DE9"/>
    <w:rsid w:val="00574030"/>
    <w:rsid w:val="00574495"/>
    <w:rsid w:val="00574EF7"/>
    <w:rsid w:val="005837A5"/>
    <w:rsid w:val="00585C3D"/>
    <w:rsid w:val="00591C51"/>
    <w:rsid w:val="00594F02"/>
    <w:rsid w:val="00595FF9"/>
    <w:rsid w:val="00596A61"/>
    <w:rsid w:val="005A0ACA"/>
    <w:rsid w:val="005A0E8C"/>
    <w:rsid w:val="005A4E45"/>
    <w:rsid w:val="005A5A94"/>
    <w:rsid w:val="005B02A4"/>
    <w:rsid w:val="005B0F05"/>
    <w:rsid w:val="005B3F4C"/>
    <w:rsid w:val="005B7FD9"/>
    <w:rsid w:val="005C1B8C"/>
    <w:rsid w:val="005C1F65"/>
    <w:rsid w:val="005C2385"/>
    <w:rsid w:val="005C3A42"/>
    <w:rsid w:val="005C3E57"/>
    <w:rsid w:val="005C61CF"/>
    <w:rsid w:val="005C63FF"/>
    <w:rsid w:val="005C7E25"/>
    <w:rsid w:val="005D1320"/>
    <w:rsid w:val="005D2833"/>
    <w:rsid w:val="005D2A81"/>
    <w:rsid w:val="005D4803"/>
    <w:rsid w:val="005D531D"/>
    <w:rsid w:val="005D7705"/>
    <w:rsid w:val="005E0262"/>
    <w:rsid w:val="005E1B2E"/>
    <w:rsid w:val="005E32E7"/>
    <w:rsid w:val="005E4912"/>
    <w:rsid w:val="005E5983"/>
    <w:rsid w:val="005E61A7"/>
    <w:rsid w:val="005E75B2"/>
    <w:rsid w:val="005E77D8"/>
    <w:rsid w:val="005F019E"/>
    <w:rsid w:val="005F0356"/>
    <w:rsid w:val="005F04E5"/>
    <w:rsid w:val="005F2C0D"/>
    <w:rsid w:val="005F49E1"/>
    <w:rsid w:val="005F6399"/>
    <w:rsid w:val="0060118E"/>
    <w:rsid w:val="00602314"/>
    <w:rsid w:val="00603D98"/>
    <w:rsid w:val="006044E2"/>
    <w:rsid w:val="0060457A"/>
    <w:rsid w:val="00604BB6"/>
    <w:rsid w:val="006070BF"/>
    <w:rsid w:val="006101C5"/>
    <w:rsid w:val="00611BD1"/>
    <w:rsid w:val="006171BB"/>
    <w:rsid w:val="00620DC1"/>
    <w:rsid w:val="0062359D"/>
    <w:rsid w:val="006279E1"/>
    <w:rsid w:val="00627CED"/>
    <w:rsid w:val="00627F0B"/>
    <w:rsid w:val="006302C9"/>
    <w:rsid w:val="0063057F"/>
    <w:rsid w:val="00634F9E"/>
    <w:rsid w:val="00637E9E"/>
    <w:rsid w:val="00637FF8"/>
    <w:rsid w:val="00651D9E"/>
    <w:rsid w:val="00652E24"/>
    <w:rsid w:val="00654FB2"/>
    <w:rsid w:val="006567BB"/>
    <w:rsid w:val="00656A45"/>
    <w:rsid w:val="00657114"/>
    <w:rsid w:val="00657212"/>
    <w:rsid w:val="006628A0"/>
    <w:rsid w:val="0066361F"/>
    <w:rsid w:val="0067289F"/>
    <w:rsid w:val="0067306C"/>
    <w:rsid w:val="006817AC"/>
    <w:rsid w:val="00683131"/>
    <w:rsid w:val="0068512F"/>
    <w:rsid w:val="00685BF3"/>
    <w:rsid w:val="0069052F"/>
    <w:rsid w:val="00691541"/>
    <w:rsid w:val="00692C9C"/>
    <w:rsid w:val="006958CD"/>
    <w:rsid w:val="006A1443"/>
    <w:rsid w:val="006A2A15"/>
    <w:rsid w:val="006A2C2A"/>
    <w:rsid w:val="006A35BE"/>
    <w:rsid w:val="006A4D1A"/>
    <w:rsid w:val="006A51C3"/>
    <w:rsid w:val="006B2376"/>
    <w:rsid w:val="006B260F"/>
    <w:rsid w:val="006B3756"/>
    <w:rsid w:val="006B3937"/>
    <w:rsid w:val="006B4A98"/>
    <w:rsid w:val="006B5810"/>
    <w:rsid w:val="006B6D65"/>
    <w:rsid w:val="006C1B71"/>
    <w:rsid w:val="006C1B89"/>
    <w:rsid w:val="006C1D1F"/>
    <w:rsid w:val="006C4488"/>
    <w:rsid w:val="006C78D4"/>
    <w:rsid w:val="006D036E"/>
    <w:rsid w:val="006D3204"/>
    <w:rsid w:val="006D5A01"/>
    <w:rsid w:val="006D5C9C"/>
    <w:rsid w:val="006D5E30"/>
    <w:rsid w:val="006E237E"/>
    <w:rsid w:val="006E2874"/>
    <w:rsid w:val="006E4557"/>
    <w:rsid w:val="006E480B"/>
    <w:rsid w:val="006E4DC2"/>
    <w:rsid w:val="006E5272"/>
    <w:rsid w:val="006E5F85"/>
    <w:rsid w:val="006F0B0E"/>
    <w:rsid w:val="006F2884"/>
    <w:rsid w:val="006F38BF"/>
    <w:rsid w:val="006F4588"/>
    <w:rsid w:val="006F4601"/>
    <w:rsid w:val="006F5B52"/>
    <w:rsid w:val="006F6FC6"/>
    <w:rsid w:val="00702EC4"/>
    <w:rsid w:val="00710895"/>
    <w:rsid w:val="0071091C"/>
    <w:rsid w:val="0071529F"/>
    <w:rsid w:val="00716F32"/>
    <w:rsid w:val="00716FDB"/>
    <w:rsid w:val="00717AA9"/>
    <w:rsid w:val="00723930"/>
    <w:rsid w:val="00723FC1"/>
    <w:rsid w:val="0072639C"/>
    <w:rsid w:val="00727F92"/>
    <w:rsid w:val="00730566"/>
    <w:rsid w:val="00731C2B"/>
    <w:rsid w:val="00733825"/>
    <w:rsid w:val="00735632"/>
    <w:rsid w:val="00737201"/>
    <w:rsid w:val="00740686"/>
    <w:rsid w:val="007440DA"/>
    <w:rsid w:val="00745FDD"/>
    <w:rsid w:val="007464FA"/>
    <w:rsid w:val="0075146E"/>
    <w:rsid w:val="00753AB9"/>
    <w:rsid w:val="0075513B"/>
    <w:rsid w:val="007601FA"/>
    <w:rsid w:val="007621E4"/>
    <w:rsid w:val="007641AA"/>
    <w:rsid w:val="00764372"/>
    <w:rsid w:val="00764928"/>
    <w:rsid w:val="00771D89"/>
    <w:rsid w:val="00771FB4"/>
    <w:rsid w:val="00774529"/>
    <w:rsid w:val="00775C1D"/>
    <w:rsid w:val="00780642"/>
    <w:rsid w:val="0078593F"/>
    <w:rsid w:val="00790E8A"/>
    <w:rsid w:val="007912D2"/>
    <w:rsid w:val="00791393"/>
    <w:rsid w:val="00792B1A"/>
    <w:rsid w:val="0079371D"/>
    <w:rsid w:val="00797A2E"/>
    <w:rsid w:val="007A0A50"/>
    <w:rsid w:val="007A5B16"/>
    <w:rsid w:val="007A7D47"/>
    <w:rsid w:val="007B2426"/>
    <w:rsid w:val="007B377F"/>
    <w:rsid w:val="007B722E"/>
    <w:rsid w:val="007C6A04"/>
    <w:rsid w:val="007C7109"/>
    <w:rsid w:val="007D61E2"/>
    <w:rsid w:val="007D65AC"/>
    <w:rsid w:val="007E474E"/>
    <w:rsid w:val="007E5B7F"/>
    <w:rsid w:val="007E6051"/>
    <w:rsid w:val="007E622C"/>
    <w:rsid w:val="007F1944"/>
    <w:rsid w:val="007F2451"/>
    <w:rsid w:val="007F4194"/>
    <w:rsid w:val="007F5380"/>
    <w:rsid w:val="007F746A"/>
    <w:rsid w:val="007F7D42"/>
    <w:rsid w:val="00800601"/>
    <w:rsid w:val="00802863"/>
    <w:rsid w:val="00806F2B"/>
    <w:rsid w:val="00807B4B"/>
    <w:rsid w:val="00810F4C"/>
    <w:rsid w:val="008119CF"/>
    <w:rsid w:val="00812122"/>
    <w:rsid w:val="0081223F"/>
    <w:rsid w:val="00812CC4"/>
    <w:rsid w:val="008136D7"/>
    <w:rsid w:val="00814351"/>
    <w:rsid w:val="00814D42"/>
    <w:rsid w:val="008157D1"/>
    <w:rsid w:val="008202AC"/>
    <w:rsid w:val="00820588"/>
    <w:rsid w:val="00821DBF"/>
    <w:rsid w:val="00824158"/>
    <w:rsid w:val="00826147"/>
    <w:rsid w:val="00832738"/>
    <w:rsid w:val="00834543"/>
    <w:rsid w:val="00835C4D"/>
    <w:rsid w:val="00836100"/>
    <w:rsid w:val="008443A9"/>
    <w:rsid w:val="00844DEE"/>
    <w:rsid w:val="00844EEE"/>
    <w:rsid w:val="00850B5A"/>
    <w:rsid w:val="008529BF"/>
    <w:rsid w:val="00853B49"/>
    <w:rsid w:val="0085557C"/>
    <w:rsid w:val="00857FEC"/>
    <w:rsid w:val="00861499"/>
    <w:rsid w:val="0086248D"/>
    <w:rsid w:val="008630BC"/>
    <w:rsid w:val="00863564"/>
    <w:rsid w:val="00864DA2"/>
    <w:rsid w:val="008659E2"/>
    <w:rsid w:val="008669E1"/>
    <w:rsid w:val="00866F61"/>
    <w:rsid w:val="00872C47"/>
    <w:rsid w:val="0087441B"/>
    <w:rsid w:val="00877877"/>
    <w:rsid w:val="00880171"/>
    <w:rsid w:val="00880DCD"/>
    <w:rsid w:val="00882D9B"/>
    <w:rsid w:val="00883104"/>
    <w:rsid w:val="00886683"/>
    <w:rsid w:val="00887272"/>
    <w:rsid w:val="0089242D"/>
    <w:rsid w:val="00892C8E"/>
    <w:rsid w:val="008930A9"/>
    <w:rsid w:val="00893E31"/>
    <w:rsid w:val="00896F4C"/>
    <w:rsid w:val="008A1AF7"/>
    <w:rsid w:val="008A72C5"/>
    <w:rsid w:val="008B03B9"/>
    <w:rsid w:val="008B0A67"/>
    <w:rsid w:val="008B1094"/>
    <w:rsid w:val="008B285F"/>
    <w:rsid w:val="008B58AD"/>
    <w:rsid w:val="008B7F64"/>
    <w:rsid w:val="008C360B"/>
    <w:rsid w:val="008C3D9D"/>
    <w:rsid w:val="008C4380"/>
    <w:rsid w:val="008C45D4"/>
    <w:rsid w:val="008C6501"/>
    <w:rsid w:val="008C6A38"/>
    <w:rsid w:val="008D0973"/>
    <w:rsid w:val="008D1E8C"/>
    <w:rsid w:val="008D53DE"/>
    <w:rsid w:val="008E686F"/>
    <w:rsid w:val="008E69EF"/>
    <w:rsid w:val="008E6A58"/>
    <w:rsid w:val="008F060C"/>
    <w:rsid w:val="008F08EA"/>
    <w:rsid w:val="008F0E09"/>
    <w:rsid w:val="008F61A4"/>
    <w:rsid w:val="008F6DE4"/>
    <w:rsid w:val="0090335E"/>
    <w:rsid w:val="009037C8"/>
    <w:rsid w:val="00905015"/>
    <w:rsid w:val="00905232"/>
    <w:rsid w:val="00906374"/>
    <w:rsid w:val="00906B03"/>
    <w:rsid w:val="00910F34"/>
    <w:rsid w:val="009110E3"/>
    <w:rsid w:val="009139BC"/>
    <w:rsid w:val="00915D98"/>
    <w:rsid w:val="00916905"/>
    <w:rsid w:val="0091751F"/>
    <w:rsid w:val="00921F42"/>
    <w:rsid w:val="009256AA"/>
    <w:rsid w:val="00925B2C"/>
    <w:rsid w:val="00926CC1"/>
    <w:rsid w:val="009361EE"/>
    <w:rsid w:val="009374FC"/>
    <w:rsid w:val="00937B8B"/>
    <w:rsid w:val="00937B94"/>
    <w:rsid w:val="00945343"/>
    <w:rsid w:val="009469B6"/>
    <w:rsid w:val="00946B31"/>
    <w:rsid w:val="00952F37"/>
    <w:rsid w:val="009573C6"/>
    <w:rsid w:val="00957E4F"/>
    <w:rsid w:val="009601EB"/>
    <w:rsid w:val="009610CB"/>
    <w:rsid w:val="00961BA8"/>
    <w:rsid w:val="009622E2"/>
    <w:rsid w:val="00966C28"/>
    <w:rsid w:val="0096770A"/>
    <w:rsid w:val="00970BAC"/>
    <w:rsid w:val="00972184"/>
    <w:rsid w:val="00972F88"/>
    <w:rsid w:val="00973712"/>
    <w:rsid w:val="00974A5F"/>
    <w:rsid w:val="00975B92"/>
    <w:rsid w:val="00975C53"/>
    <w:rsid w:val="0097785D"/>
    <w:rsid w:val="0098093D"/>
    <w:rsid w:val="00980F5A"/>
    <w:rsid w:val="0098128B"/>
    <w:rsid w:val="00983BF4"/>
    <w:rsid w:val="00983C97"/>
    <w:rsid w:val="00984A52"/>
    <w:rsid w:val="009862C2"/>
    <w:rsid w:val="009910B4"/>
    <w:rsid w:val="00992549"/>
    <w:rsid w:val="009939E1"/>
    <w:rsid w:val="009964AA"/>
    <w:rsid w:val="00997532"/>
    <w:rsid w:val="00997F76"/>
    <w:rsid w:val="009A0635"/>
    <w:rsid w:val="009A1E97"/>
    <w:rsid w:val="009A5E22"/>
    <w:rsid w:val="009B01C2"/>
    <w:rsid w:val="009B04D1"/>
    <w:rsid w:val="009B26BA"/>
    <w:rsid w:val="009B43E7"/>
    <w:rsid w:val="009B4EB1"/>
    <w:rsid w:val="009C0FCF"/>
    <w:rsid w:val="009C17B2"/>
    <w:rsid w:val="009C1ADF"/>
    <w:rsid w:val="009C2903"/>
    <w:rsid w:val="009C2BB6"/>
    <w:rsid w:val="009C337F"/>
    <w:rsid w:val="009C40CF"/>
    <w:rsid w:val="009C43D4"/>
    <w:rsid w:val="009C5127"/>
    <w:rsid w:val="009C6366"/>
    <w:rsid w:val="009D1FDC"/>
    <w:rsid w:val="009D23B5"/>
    <w:rsid w:val="009D2792"/>
    <w:rsid w:val="009D43AC"/>
    <w:rsid w:val="009E0B7A"/>
    <w:rsid w:val="009E12C8"/>
    <w:rsid w:val="009E1B2C"/>
    <w:rsid w:val="009E3473"/>
    <w:rsid w:val="009E58E3"/>
    <w:rsid w:val="009F13E1"/>
    <w:rsid w:val="009F2C4B"/>
    <w:rsid w:val="009F461F"/>
    <w:rsid w:val="009F51BC"/>
    <w:rsid w:val="00A01D61"/>
    <w:rsid w:val="00A01E2B"/>
    <w:rsid w:val="00A0243A"/>
    <w:rsid w:val="00A03167"/>
    <w:rsid w:val="00A032C6"/>
    <w:rsid w:val="00A0366A"/>
    <w:rsid w:val="00A049EC"/>
    <w:rsid w:val="00A04F4F"/>
    <w:rsid w:val="00A07FA9"/>
    <w:rsid w:val="00A13704"/>
    <w:rsid w:val="00A13721"/>
    <w:rsid w:val="00A13F04"/>
    <w:rsid w:val="00A20AA5"/>
    <w:rsid w:val="00A225F4"/>
    <w:rsid w:val="00A22E5C"/>
    <w:rsid w:val="00A23646"/>
    <w:rsid w:val="00A26C34"/>
    <w:rsid w:val="00A30FC0"/>
    <w:rsid w:val="00A331C7"/>
    <w:rsid w:val="00A357C2"/>
    <w:rsid w:val="00A36512"/>
    <w:rsid w:val="00A36536"/>
    <w:rsid w:val="00A36EE2"/>
    <w:rsid w:val="00A4011F"/>
    <w:rsid w:val="00A43418"/>
    <w:rsid w:val="00A442DE"/>
    <w:rsid w:val="00A45E20"/>
    <w:rsid w:val="00A47318"/>
    <w:rsid w:val="00A473D1"/>
    <w:rsid w:val="00A52310"/>
    <w:rsid w:val="00A5673C"/>
    <w:rsid w:val="00A60B2C"/>
    <w:rsid w:val="00A668B3"/>
    <w:rsid w:val="00A66A74"/>
    <w:rsid w:val="00A66F5E"/>
    <w:rsid w:val="00A70CFD"/>
    <w:rsid w:val="00A759C1"/>
    <w:rsid w:val="00A76C78"/>
    <w:rsid w:val="00A821E8"/>
    <w:rsid w:val="00A83107"/>
    <w:rsid w:val="00A84D99"/>
    <w:rsid w:val="00A9033E"/>
    <w:rsid w:val="00A90FE3"/>
    <w:rsid w:val="00A93DFB"/>
    <w:rsid w:val="00AA01CE"/>
    <w:rsid w:val="00AA5E08"/>
    <w:rsid w:val="00AA62D7"/>
    <w:rsid w:val="00AA6A7F"/>
    <w:rsid w:val="00AB2512"/>
    <w:rsid w:val="00AB47FB"/>
    <w:rsid w:val="00AB6FDF"/>
    <w:rsid w:val="00AC22DB"/>
    <w:rsid w:val="00AC27B1"/>
    <w:rsid w:val="00AC5BB7"/>
    <w:rsid w:val="00AD191A"/>
    <w:rsid w:val="00AD3DA0"/>
    <w:rsid w:val="00AD44D5"/>
    <w:rsid w:val="00AD6BCC"/>
    <w:rsid w:val="00AE09F8"/>
    <w:rsid w:val="00AE1368"/>
    <w:rsid w:val="00AE2306"/>
    <w:rsid w:val="00AE281A"/>
    <w:rsid w:val="00AE351C"/>
    <w:rsid w:val="00AE6763"/>
    <w:rsid w:val="00AF06AC"/>
    <w:rsid w:val="00AF2D9F"/>
    <w:rsid w:val="00AF4047"/>
    <w:rsid w:val="00AF4C41"/>
    <w:rsid w:val="00AF4CF3"/>
    <w:rsid w:val="00AF7FBF"/>
    <w:rsid w:val="00B042DA"/>
    <w:rsid w:val="00B046A7"/>
    <w:rsid w:val="00B0611B"/>
    <w:rsid w:val="00B12F47"/>
    <w:rsid w:val="00B15C88"/>
    <w:rsid w:val="00B16CBA"/>
    <w:rsid w:val="00B17F06"/>
    <w:rsid w:val="00B25662"/>
    <w:rsid w:val="00B30196"/>
    <w:rsid w:val="00B3040E"/>
    <w:rsid w:val="00B31242"/>
    <w:rsid w:val="00B3337C"/>
    <w:rsid w:val="00B35590"/>
    <w:rsid w:val="00B35B81"/>
    <w:rsid w:val="00B3685D"/>
    <w:rsid w:val="00B36AF9"/>
    <w:rsid w:val="00B40DD4"/>
    <w:rsid w:val="00B47BFD"/>
    <w:rsid w:val="00B529E1"/>
    <w:rsid w:val="00B53E2D"/>
    <w:rsid w:val="00B56779"/>
    <w:rsid w:val="00B5697C"/>
    <w:rsid w:val="00B577F7"/>
    <w:rsid w:val="00B616AD"/>
    <w:rsid w:val="00B61DA3"/>
    <w:rsid w:val="00B61F8F"/>
    <w:rsid w:val="00B62C54"/>
    <w:rsid w:val="00B65018"/>
    <w:rsid w:val="00B65557"/>
    <w:rsid w:val="00B656D7"/>
    <w:rsid w:val="00B72033"/>
    <w:rsid w:val="00B72771"/>
    <w:rsid w:val="00B72783"/>
    <w:rsid w:val="00B74D73"/>
    <w:rsid w:val="00B77AE0"/>
    <w:rsid w:val="00B84352"/>
    <w:rsid w:val="00B84DB8"/>
    <w:rsid w:val="00B86D52"/>
    <w:rsid w:val="00B86E88"/>
    <w:rsid w:val="00B920D5"/>
    <w:rsid w:val="00B934C6"/>
    <w:rsid w:val="00B965D7"/>
    <w:rsid w:val="00BA1DF8"/>
    <w:rsid w:val="00BA4364"/>
    <w:rsid w:val="00BA66FC"/>
    <w:rsid w:val="00BA6F0C"/>
    <w:rsid w:val="00BA7E21"/>
    <w:rsid w:val="00BB33C1"/>
    <w:rsid w:val="00BB76F2"/>
    <w:rsid w:val="00BB7CFF"/>
    <w:rsid w:val="00BC6A65"/>
    <w:rsid w:val="00BD1008"/>
    <w:rsid w:val="00BD185B"/>
    <w:rsid w:val="00BD577B"/>
    <w:rsid w:val="00BD665C"/>
    <w:rsid w:val="00BE194F"/>
    <w:rsid w:val="00BE2A89"/>
    <w:rsid w:val="00BE2BD1"/>
    <w:rsid w:val="00BE3916"/>
    <w:rsid w:val="00BE679B"/>
    <w:rsid w:val="00BE6D76"/>
    <w:rsid w:val="00BF06FD"/>
    <w:rsid w:val="00BF11A2"/>
    <w:rsid w:val="00BF28B6"/>
    <w:rsid w:val="00BF5D39"/>
    <w:rsid w:val="00BF69E6"/>
    <w:rsid w:val="00BF7301"/>
    <w:rsid w:val="00C00066"/>
    <w:rsid w:val="00C035A7"/>
    <w:rsid w:val="00C064BA"/>
    <w:rsid w:val="00C10496"/>
    <w:rsid w:val="00C10F04"/>
    <w:rsid w:val="00C11ABE"/>
    <w:rsid w:val="00C12462"/>
    <w:rsid w:val="00C12AAA"/>
    <w:rsid w:val="00C20CAE"/>
    <w:rsid w:val="00C20DCD"/>
    <w:rsid w:val="00C21AB5"/>
    <w:rsid w:val="00C226E8"/>
    <w:rsid w:val="00C2313C"/>
    <w:rsid w:val="00C239FC"/>
    <w:rsid w:val="00C2463F"/>
    <w:rsid w:val="00C248D6"/>
    <w:rsid w:val="00C25434"/>
    <w:rsid w:val="00C257BC"/>
    <w:rsid w:val="00C27615"/>
    <w:rsid w:val="00C312C8"/>
    <w:rsid w:val="00C34F41"/>
    <w:rsid w:val="00C36A0A"/>
    <w:rsid w:val="00C37049"/>
    <w:rsid w:val="00C4014B"/>
    <w:rsid w:val="00C43161"/>
    <w:rsid w:val="00C46865"/>
    <w:rsid w:val="00C47C14"/>
    <w:rsid w:val="00C51059"/>
    <w:rsid w:val="00C51D24"/>
    <w:rsid w:val="00C524E3"/>
    <w:rsid w:val="00C52BF7"/>
    <w:rsid w:val="00C57E4A"/>
    <w:rsid w:val="00C60F92"/>
    <w:rsid w:val="00C61482"/>
    <w:rsid w:val="00C65126"/>
    <w:rsid w:val="00C72E31"/>
    <w:rsid w:val="00C734B1"/>
    <w:rsid w:val="00C73D0B"/>
    <w:rsid w:val="00C74B0B"/>
    <w:rsid w:val="00C764EF"/>
    <w:rsid w:val="00C77CC3"/>
    <w:rsid w:val="00C8013C"/>
    <w:rsid w:val="00C83526"/>
    <w:rsid w:val="00C90F6C"/>
    <w:rsid w:val="00C92BF5"/>
    <w:rsid w:val="00C933DB"/>
    <w:rsid w:val="00C947DD"/>
    <w:rsid w:val="00C952F5"/>
    <w:rsid w:val="00C971AA"/>
    <w:rsid w:val="00C9757D"/>
    <w:rsid w:val="00CA3E3D"/>
    <w:rsid w:val="00CB133B"/>
    <w:rsid w:val="00CB3B63"/>
    <w:rsid w:val="00CB70AB"/>
    <w:rsid w:val="00CB7DC5"/>
    <w:rsid w:val="00CC0F5A"/>
    <w:rsid w:val="00CC11D1"/>
    <w:rsid w:val="00CC4E68"/>
    <w:rsid w:val="00CC7AFB"/>
    <w:rsid w:val="00CD0483"/>
    <w:rsid w:val="00CD13CF"/>
    <w:rsid w:val="00CD1D06"/>
    <w:rsid w:val="00CD382A"/>
    <w:rsid w:val="00CD4540"/>
    <w:rsid w:val="00CD5412"/>
    <w:rsid w:val="00CD689E"/>
    <w:rsid w:val="00CD7C07"/>
    <w:rsid w:val="00CE306D"/>
    <w:rsid w:val="00CE36E5"/>
    <w:rsid w:val="00CE46A1"/>
    <w:rsid w:val="00CE4C80"/>
    <w:rsid w:val="00CE5846"/>
    <w:rsid w:val="00CF0276"/>
    <w:rsid w:val="00CF115E"/>
    <w:rsid w:val="00CF282E"/>
    <w:rsid w:val="00CF3C09"/>
    <w:rsid w:val="00CF74EC"/>
    <w:rsid w:val="00CF7EAC"/>
    <w:rsid w:val="00D01EFB"/>
    <w:rsid w:val="00D0501B"/>
    <w:rsid w:val="00D05B32"/>
    <w:rsid w:val="00D05C3B"/>
    <w:rsid w:val="00D05D7E"/>
    <w:rsid w:val="00D066B3"/>
    <w:rsid w:val="00D073DD"/>
    <w:rsid w:val="00D07F5B"/>
    <w:rsid w:val="00D12065"/>
    <w:rsid w:val="00D12C66"/>
    <w:rsid w:val="00D16D2A"/>
    <w:rsid w:val="00D24FD8"/>
    <w:rsid w:val="00D25337"/>
    <w:rsid w:val="00D31693"/>
    <w:rsid w:val="00D36CC9"/>
    <w:rsid w:val="00D405A5"/>
    <w:rsid w:val="00D4511C"/>
    <w:rsid w:val="00D500A8"/>
    <w:rsid w:val="00D51A52"/>
    <w:rsid w:val="00D51FEB"/>
    <w:rsid w:val="00D5256D"/>
    <w:rsid w:val="00D5543B"/>
    <w:rsid w:val="00D57E41"/>
    <w:rsid w:val="00D70725"/>
    <w:rsid w:val="00D713DD"/>
    <w:rsid w:val="00D714BC"/>
    <w:rsid w:val="00D71D31"/>
    <w:rsid w:val="00D736B9"/>
    <w:rsid w:val="00D748E9"/>
    <w:rsid w:val="00D74E66"/>
    <w:rsid w:val="00D77F8D"/>
    <w:rsid w:val="00D81AE1"/>
    <w:rsid w:val="00D8221A"/>
    <w:rsid w:val="00D82647"/>
    <w:rsid w:val="00D82D16"/>
    <w:rsid w:val="00D83448"/>
    <w:rsid w:val="00D83A5C"/>
    <w:rsid w:val="00D840FE"/>
    <w:rsid w:val="00D847E6"/>
    <w:rsid w:val="00D84BFC"/>
    <w:rsid w:val="00D852FC"/>
    <w:rsid w:val="00D85418"/>
    <w:rsid w:val="00D86C2F"/>
    <w:rsid w:val="00D86EF6"/>
    <w:rsid w:val="00D870BF"/>
    <w:rsid w:val="00D91A0B"/>
    <w:rsid w:val="00D91C0E"/>
    <w:rsid w:val="00D95D85"/>
    <w:rsid w:val="00D965A2"/>
    <w:rsid w:val="00D97E90"/>
    <w:rsid w:val="00DA120E"/>
    <w:rsid w:val="00DA2FA0"/>
    <w:rsid w:val="00DA6BDE"/>
    <w:rsid w:val="00DA7D29"/>
    <w:rsid w:val="00DB00A9"/>
    <w:rsid w:val="00DB0E79"/>
    <w:rsid w:val="00DB18DA"/>
    <w:rsid w:val="00DB298D"/>
    <w:rsid w:val="00DB3553"/>
    <w:rsid w:val="00DB40B7"/>
    <w:rsid w:val="00DB4D22"/>
    <w:rsid w:val="00DB7099"/>
    <w:rsid w:val="00DC021F"/>
    <w:rsid w:val="00DC079A"/>
    <w:rsid w:val="00DC10A7"/>
    <w:rsid w:val="00DC21D7"/>
    <w:rsid w:val="00DC2BCB"/>
    <w:rsid w:val="00DC42D9"/>
    <w:rsid w:val="00DC507B"/>
    <w:rsid w:val="00DC5367"/>
    <w:rsid w:val="00DC57B1"/>
    <w:rsid w:val="00DC791E"/>
    <w:rsid w:val="00DD11F0"/>
    <w:rsid w:val="00DD2AFE"/>
    <w:rsid w:val="00DD72D2"/>
    <w:rsid w:val="00DE0BEF"/>
    <w:rsid w:val="00DE155D"/>
    <w:rsid w:val="00DE2527"/>
    <w:rsid w:val="00DF130F"/>
    <w:rsid w:val="00DF1F6F"/>
    <w:rsid w:val="00DF211F"/>
    <w:rsid w:val="00DF23C0"/>
    <w:rsid w:val="00DF3308"/>
    <w:rsid w:val="00DF52EC"/>
    <w:rsid w:val="00DF7D05"/>
    <w:rsid w:val="00E07232"/>
    <w:rsid w:val="00E07E0B"/>
    <w:rsid w:val="00E14E1C"/>
    <w:rsid w:val="00E1740D"/>
    <w:rsid w:val="00E20454"/>
    <w:rsid w:val="00E2479E"/>
    <w:rsid w:val="00E26DA3"/>
    <w:rsid w:val="00E27261"/>
    <w:rsid w:val="00E27520"/>
    <w:rsid w:val="00E27F88"/>
    <w:rsid w:val="00E322A9"/>
    <w:rsid w:val="00E33BA5"/>
    <w:rsid w:val="00E33C88"/>
    <w:rsid w:val="00E350DB"/>
    <w:rsid w:val="00E37E0D"/>
    <w:rsid w:val="00E4035F"/>
    <w:rsid w:val="00E40594"/>
    <w:rsid w:val="00E410B3"/>
    <w:rsid w:val="00E42970"/>
    <w:rsid w:val="00E4350B"/>
    <w:rsid w:val="00E43567"/>
    <w:rsid w:val="00E43F3B"/>
    <w:rsid w:val="00E441B9"/>
    <w:rsid w:val="00E47D6D"/>
    <w:rsid w:val="00E53BE6"/>
    <w:rsid w:val="00E56884"/>
    <w:rsid w:val="00E57A7A"/>
    <w:rsid w:val="00E57E4B"/>
    <w:rsid w:val="00E61DAC"/>
    <w:rsid w:val="00E664D3"/>
    <w:rsid w:val="00E67C3C"/>
    <w:rsid w:val="00E67CB1"/>
    <w:rsid w:val="00E7324F"/>
    <w:rsid w:val="00E75D2D"/>
    <w:rsid w:val="00E77D47"/>
    <w:rsid w:val="00E80074"/>
    <w:rsid w:val="00E8012F"/>
    <w:rsid w:val="00E811B4"/>
    <w:rsid w:val="00E81744"/>
    <w:rsid w:val="00E81C95"/>
    <w:rsid w:val="00E82C5A"/>
    <w:rsid w:val="00E85539"/>
    <w:rsid w:val="00E8673D"/>
    <w:rsid w:val="00E86E1E"/>
    <w:rsid w:val="00E900B3"/>
    <w:rsid w:val="00E9089A"/>
    <w:rsid w:val="00E91AC4"/>
    <w:rsid w:val="00E91E47"/>
    <w:rsid w:val="00E93B6F"/>
    <w:rsid w:val="00E953F0"/>
    <w:rsid w:val="00E96346"/>
    <w:rsid w:val="00E96F60"/>
    <w:rsid w:val="00EA04D4"/>
    <w:rsid w:val="00EA18C3"/>
    <w:rsid w:val="00EA3892"/>
    <w:rsid w:val="00EA3E6F"/>
    <w:rsid w:val="00EA40C1"/>
    <w:rsid w:val="00EA422E"/>
    <w:rsid w:val="00EA477E"/>
    <w:rsid w:val="00EA5814"/>
    <w:rsid w:val="00EA5A0C"/>
    <w:rsid w:val="00EA5CC5"/>
    <w:rsid w:val="00EA703D"/>
    <w:rsid w:val="00EA70A1"/>
    <w:rsid w:val="00EA79D3"/>
    <w:rsid w:val="00EA7A23"/>
    <w:rsid w:val="00EB6268"/>
    <w:rsid w:val="00EC007E"/>
    <w:rsid w:val="00EC376B"/>
    <w:rsid w:val="00EC6185"/>
    <w:rsid w:val="00EC7E61"/>
    <w:rsid w:val="00ED30EB"/>
    <w:rsid w:val="00ED368B"/>
    <w:rsid w:val="00ED511C"/>
    <w:rsid w:val="00ED620C"/>
    <w:rsid w:val="00ED6FF9"/>
    <w:rsid w:val="00ED72AC"/>
    <w:rsid w:val="00ED73A5"/>
    <w:rsid w:val="00EE13CA"/>
    <w:rsid w:val="00EE3267"/>
    <w:rsid w:val="00EE479A"/>
    <w:rsid w:val="00EE49FC"/>
    <w:rsid w:val="00EE5195"/>
    <w:rsid w:val="00EE58E8"/>
    <w:rsid w:val="00EE5974"/>
    <w:rsid w:val="00EE67BA"/>
    <w:rsid w:val="00EE68CD"/>
    <w:rsid w:val="00EF1698"/>
    <w:rsid w:val="00F00090"/>
    <w:rsid w:val="00F01C40"/>
    <w:rsid w:val="00F038EE"/>
    <w:rsid w:val="00F03BBC"/>
    <w:rsid w:val="00F0657F"/>
    <w:rsid w:val="00F10954"/>
    <w:rsid w:val="00F12939"/>
    <w:rsid w:val="00F158E6"/>
    <w:rsid w:val="00F168F0"/>
    <w:rsid w:val="00F210A1"/>
    <w:rsid w:val="00F2393B"/>
    <w:rsid w:val="00F239CF"/>
    <w:rsid w:val="00F23B18"/>
    <w:rsid w:val="00F279BB"/>
    <w:rsid w:val="00F27F6B"/>
    <w:rsid w:val="00F31711"/>
    <w:rsid w:val="00F31AFD"/>
    <w:rsid w:val="00F32BBB"/>
    <w:rsid w:val="00F3452B"/>
    <w:rsid w:val="00F347E7"/>
    <w:rsid w:val="00F41DA7"/>
    <w:rsid w:val="00F42A2D"/>
    <w:rsid w:val="00F43179"/>
    <w:rsid w:val="00F53327"/>
    <w:rsid w:val="00F54ED9"/>
    <w:rsid w:val="00F553D0"/>
    <w:rsid w:val="00F578CA"/>
    <w:rsid w:val="00F57D7D"/>
    <w:rsid w:val="00F64B9E"/>
    <w:rsid w:val="00F665B7"/>
    <w:rsid w:val="00F66735"/>
    <w:rsid w:val="00F66E04"/>
    <w:rsid w:val="00F676DE"/>
    <w:rsid w:val="00F67A50"/>
    <w:rsid w:val="00F701D5"/>
    <w:rsid w:val="00F7250C"/>
    <w:rsid w:val="00F7436F"/>
    <w:rsid w:val="00F76134"/>
    <w:rsid w:val="00F76E78"/>
    <w:rsid w:val="00F771CA"/>
    <w:rsid w:val="00F77261"/>
    <w:rsid w:val="00F80464"/>
    <w:rsid w:val="00F82055"/>
    <w:rsid w:val="00F85A86"/>
    <w:rsid w:val="00F867E4"/>
    <w:rsid w:val="00F87C15"/>
    <w:rsid w:val="00F92321"/>
    <w:rsid w:val="00F9424C"/>
    <w:rsid w:val="00F94625"/>
    <w:rsid w:val="00F96115"/>
    <w:rsid w:val="00F96541"/>
    <w:rsid w:val="00FA2B78"/>
    <w:rsid w:val="00FA4D3F"/>
    <w:rsid w:val="00FB0CCF"/>
    <w:rsid w:val="00FB15A1"/>
    <w:rsid w:val="00FB253C"/>
    <w:rsid w:val="00FB37FB"/>
    <w:rsid w:val="00FB5D12"/>
    <w:rsid w:val="00FC10D4"/>
    <w:rsid w:val="00FC3B3E"/>
    <w:rsid w:val="00FC3BEB"/>
    <w:rsid w:val="00FC6B7C"/>
    <w:rsid w:val="00FC7574"/>
    <w:rsid w:val="00FC7796"/>
    <w:rsid w:val="00FD3323"/>
    <w:rsid w:val="00FD744D"/>
    <w:rsid w:val="00FE16E1"/>
    <w:rsid w:val="00FE4A54"/>
    <w:rsid w:val="00FE5B4C"/>
    <w:rsid w:val="00FE65B1"/>
    <w:rsid w:val="00FF172B"/>
    <w:rsid w:val="00FF3499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9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00066"/>
    <w:pPr>
      <w:tabs>
        <w:tab w:val="right" w:leader="dot" w:pos="9062"/>
      </w:tabs>
      <w:spacing w:line="360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905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25</Pages>
  <Words>7611</Words>
  <Characters>45669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62</cp:revision>
  <dcterms:created xsi:type="dcterms:W3CDTF">2024-06-20T06:29:00Z</dcterms:created>
  <dcterms:modified xsi:type="dcterms:W3CDTF">2025-12-17T07:40:00Z</dcterms:modified>
</cp:coreProperties>
</file>